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ABD2CC">
      <w:pPr>
        <w:spacing w:line="480" w:lineRule="exact"/>
        <w:rPr>
          <w:color w:val="auto"/>
          <w:sz w:val="24"/>
          <w:highlight w:val="none"/>
        </w:rPr>
      </w:pPr>
      <w:r>
        <w:rPr>
          <w:rFonts w:hint="eastAsia"/>
          <w:color w:val="auto"/>
          <w:sz w:val="24"/>
          <w:highlight w:val="none"/>
        </w:rPr>
        <w:drawing>
          <wp:anchor distT="0" distB="0" distL="114300" distR="114300" simplePos="0" relativeHeight="251659264" behindDoc="0" locked="0" layoutInCell="1" allowOverlap="1">
            <wp:simplePos x="0" y="0"/>
            <wp:positionH relativeFrom="column">
              <wp:posOffset>-1600200</wp:posOffset>
            </wp:positionH>
            <wp:positionV relativeFrom="paragraph">
              <wp:posOffset>-990600</wp:posOffset>
            </wp:positionV>
            <wp:extent cx="8915400" cy="2593340"/>
            <wp:effectExtent l="0" t="0" r="0" b="16510"/>
            <wp:wrapNone/>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8915400" cy="2593340"/>
                    </a:xfrm>
                    <a:prstGeom prst="rect">
                      <a:avLst/>
                    </a:prstGeom>
                    <a:noFill/>
                    <a:ln>
                      <a:noFill/>
                    </a:ln>
                  </pic:spPr>
                </pic:pic>
              </a:graphicData>
            </a:graphic>
          </wp:anchor>
        </w:drawing>
      </w:r>
    </w:p>
    <w:p w14:paraId="4C30DFF2">
      <w:pPr>
        <w:spacing w:line="480" w:lineRule="exact"/>
        <w:rPr>
          <w:color w:val="auto"/>
          <w:sz w:val="24"/>
          <w:highlight w:val="none"/>
        </w:rPr>
      </w:pPr>
    </w:p>
    <w:p w14:paraId="2BB32CA2">
      <w:pPr>
        <w:spacing w:line="480" w:lineRule="exact"/>
        <w:rPr>
          <w:color w:val="auto"/>
          <w:sz w:val="24"/>
          <w:highlight w:val="none"/>
        </w:rPr>
      </w:pPr>
    </w:p>
    <w:p w14:paraId="06B3F317">
      <w:pPr>
        <w:spacing w:line="480" w:lineRule="exact"/>
        <w:rPr>
          <w:color w:val="auto"/>
          <w:sz w:val="24"/>
          <w:highlight w:val="none"/>
        </w:rPr>
      </w:pPr>
    </w:p>
    <w:p w14:paraId="113D5185">
      <w:pPr>
        <w:spacing w:line="480" w:lineRule="exact"/>
        <w:rPr>
          <w:color w:val="auto"/>
          <w:sz w:val="24"/>
          <w:highlight w:val="none"/>
        </w:rPr>
      </w:pPr>
    </w:p>
    <w:p w14:paraId="097582D4">
      <w:pPr>
        <w:snapToGrid w:val="0"/>
        <w:spacing w:line="312" w:lineRule="auto"/>
        <w:ind w:right="28"/>
        <w:jc w:val="center"/>
        <w:rPr>
          <w:rFonts w:eastAsia="黑体"/>
          <w:b/>
          <w:color w:val="auto"/>
          <w:sz w:val="52"/>
          <w:szCs w:val="52"/>
          <w:highlight w:val="none"/>
        </w:rPr>
      </w:pPr>
    </w:p>
    <w:p w14:paraId="57B5016F">
      <w:pPr>
        <w:snapToGrid w:val="0"/>
        <w:spacing w:line="312" w:lineRule="auto"/>
        <w:ind w:right="28"/>
        <w:jc w:val="center"/>
        <w:rPr>
          <w:rFonts w:eastAsia="黑体"/>
          <w:b/>
          <w:color w:val="auto"/>
          <w:sz w:val="52"/>
          <w:szCs w:val="52"/>
          <w:highlight w:val="none"/>
        </w:rPr>
      </w:pPr>
    </w:p>
    <w:p w14:paraId="461C1B9E">
      <w:pPr>
        <w:pStyle w:val="17"/>
        <w:adjustRightInd w:val="0"/>
        <w:snapToGrid w:val="0"/>
        <w:ind w:firstLine="0" w:firstLineChars="0"/>
        <w:jc w:val="center"/>
        <w:rPr>
          <w:rFonts w:hint="eastAsia" w:ascii="宋体" w:hAnsi="宋体"/>
          <w:b/>
          <w:color w:val="auto"/>
          <w:spacing w:val="30"/>
          <w:sz w:val="44"/>
          <w:szCs w:val="48"/>
          <w:highlight w:val="none"/>
        </w:rPr>
      </w:pPr>
      <w:r>
        <w:rPr>
          <w:rFonts w:hint="eastAsia" w:ascii="宋体" w:hAnsi="宋体"/>
          <w:b/>
          <w:color w:val="auto"/>
          <w:spacing w:val="30"/>
          <w:sz w:val="44"/>
          <w:szCs w:val="48"/>
          <w:highlight w:val="none"/>
        </w:rPr>
        <w:t>202</w:t>
      </w:r>
      <w:r>
        <w:rPr>
          <w:rFonts w:hint="eastAsia" w:ascii="宋体" w:hAnsi="宋体"/>
          <w:b/>
          <w:color w:val="auto"/>
          <w:spacing w:val="30"/>
          <w:sz w:val="44"/>
          <w:szCs w:val="48"/>
          <w:highlight w:val="none"/>
          <w:lang w:val="en-US" w:eastAsia="zh-CN"/>
        </w:rPr>
        <w:t>6</w:t>
      </w:r>
      <w:r>
        <w:rPr>
          <w:rFonts w:hint="eastAsia" w:ascii="宋体" w:hAnsi="宋体"/>
          <w:b/>
          <w:color w:val="auto"/>
          <w:spacing w:val="30"/>
          <w:sz w:val="44"/>
          <w:szCs w:val="48"/>
          <w:highlight w:val="none"/>
        </w:rPr>
        <w:t>年广州供电局客户服务中心</w:t>
      </w:r>
    </w:p>
    <w:p w14:paraId="1F770C73">
      <w:pPr>
        <w:pStyle w:val="17"/>
        <w:adjustRightInd w:val="0"/>
        <w:snapToGrid w:val="0"/>
        <w:ind w:firstLine="0" w:firstLineChars="0"/>
        <w:jc w:val="center"/>
        <w:rPr>
          <w:rFonts w:hint="eastAsia" w:ascii="宋体" w:hAnsi="宋体"/>
          <w:b/>
          <w:color w:val="auto"/>
          <w:spacing w:val="30"/>
          <w:sz w:val="44"/>
          <w:szCs w:val="48"/>
          <w:highlight w:val="none"/>
          <w:lang w:eastAsia="zh-CN"/>
        </w:rPr>
      </w:pPr>
      <w:r>
        <w:rPr>
          <w:rFonts w:hint="eastAsia" w:ascii="宋体" w:hAnsi="宋体"/>
          <w:b/>
          <w:color w:val="auto"/>
          <w:spacing w:val="30"/>
          <w:sz w:val="44"/>
          <w:szCs w:val="48"/>
          <w:highlight w:val="none"/>
        </w:rPr>
        <w:t>服务调度业务外委</w:t>
      </w:r>
      <w:r>
        <w:rPr>
          <w:rFonts w:hint="eastAsia" w:ascii="宋体" w:hAnsi="宋体"/>
          <w:b/>
          <w:color w:val="auto"/>
          <w:spacing w:val="30"/>
          <w:sz w:val="44"/>
          <w:szCs w:val="48"/>
          <w:highlight w:val="none"/>
          <w:lang w:eastAsia="zh-CN"/>
        </w:rPr>
        <w:t>项目</w:t>
      </w:r>
    </w:p>
    <w:p w14:paraId="32A5EADF">
      <w:pPr>
        <w:pStyle w:val="17"/>
        <w:adjustRightInd w:val="0"/>
        <w:snapToGrid w:val="0"/>
        <w:ind w:firstLine="0" w:firstLineChars="0"/>
        <w:jc w:val="center"/>
        <w:rPr>
          <w:rFonts w:hint="eastAsia" w:eastAsiaTheme="minorEastAsia"/>
          <w:color w:val="auto"/>
          <w:sz w:val="28"/>
          <w:szCs w:val="28"/>
          <w:highlight w:val="none"/>
          <w:lang w:val="en-US" w:eastAsia="zh-CN"/>
        </w:rPr>
      </w:pPr>
      <w:r>
        <w:rPr>
          <w:rFonts w:hint="eastAsia" w:ascii="宋体" w:hAnsi="宋体"/>
          <w:b/>
          <w:color w:val="auto"/>
          <w:spacing w:val="30"/>
          <w:sz w:val="44"/>
          <w:szCs w:val="48"/>
          <w:highlight w:val="none"/>
          <w:lang w:eastAsia="zh-CN"/>
        </w:rPr>
        <w:t>技术规范说明书</w:t>
      </w:r>
    </w:p>
    <w:p w14:paraId="115CCCCB">
      <w:pPr>
        <w:pStyle w:val="17"/>
        <w:adjustRightInd w:val="0"/>
        <w:snapToGrid w:val="0"/>
        <w:ind w:firstLine="0" w:firstLineChars="0"/>
        <w:rPr>
          <w:color w:val="auto"/>
          <w:highlight w:val="none"/>
        </w:rPr>
      </w:pPr>
    </w:p>
    <w:p w14:paraId="30A74127">
      <w:pPr>
        <w:pStyle w:val="17"/>
        <w:adjustRightInd w:val="0"/>
        <w:snapToGrid w:val="0"/>
        <w:ind w:firstLine="0" w:firstLineChars="0"/>
        <w:rPr>
          <w:color w:val="auto"/>
          <w:highlight w:val="none"/>
        </w:rPr>
      </w:pPr>
      <w:bookmarkStart w:id="30" w:name="_GoBack"/>
      <w:bookmarkEnd w:id="30"/>
    </w:p>
    <w:p w14:paraId="4B5C91EE">
      <w:pPr>
        <w:pStyle w:val="17"/>
        <w:adjustRightInd w:val="0"/>
        <w:snapToGrid w:val="0"/>
        <w:ind w:firstLine="0" w:firstLineChars="0"/>
        <w:rPr>
          <w:color w:val="auto"/>
          <w:highlight w:val="none"/>
        </w:rPr>
      </w:pPr>
    </w:p>
    <w:p w14:paraId="4A8E5A42">
      <w:pPr>
        <w:pStyle w:val="17"/>
        <w:adjustRightInd w:val="0"/>
        <w:snapToGrid w:val="0"/>
        <w:ind w:firstLine="0" w:firstLineChars="0"/>
        <w:rPr>
          <w:color w:val="auto"/>
          <w:highlight w:val="none"/>
        </w:rPr>
      </w:pPr>
    </w:p>
    <w:p w14:paraId="4648A5A9">
      <w:pPr>
        <w:pStyle w:val="17"/>
        <w:adjustRightInd w:val="0"/>
        <w:snapToGrid w:val="0"/>
        <w:ind w:firstLine="0" w:firstLineChars="0"/>
        <w:rPr>
          <w:color w:val="auto"/>
          <w:highlight w:val="none"/>
        </w:rPr>
      </w:pPr>
    </w:p>
    <w:p w14:paraId="5E0F9E8D">
      <w:pPr>
        <w:pStyle w:val="17"/>
        <w:adjustRightInd w:val="0"/>
        <w:snapToGrid w:val="0"/>
        <w:ind w:firstLine="0" w:firstLineChars="0"/>
        <w:rPr>
          <w:color w:val="auto"/>
          <w:highlight w:val="none"/>
        </w:rPr>
      </w:pPr>
    </w:p>
    <w:p w14:paraId="51EAC734">
      <w:pPr>
        <w:pStyle w:val="17"/>
        <w:adjustRightInd w:val="0"/>
        <w:snapToGrid w:val="0"/>
        <w:ind w:firstLine="0" w:firstLineChars="0"/>
        <w:rPr>
          <w:color w:val="auto"/>
          <w:highlight w:val="none"/>
        </w:rPr>
      </w:pPr>
    </w:p>
    <w:p w14:paraId="09D743ED">
      <w:pPr>
        <w:pStyle w:val="17"/>
        <w:adjustRightInd w:val="0"/>
        <w:snapToGrid w:val="0"/>
        <w:ind w:firstLine="0" w:firstLineChars="0"/>
        <w:rPr>
          <w:color w:val="auto"/>
          <w:highlight w:val="none"/>
        </w:rPr>
      </w:pPr>
    </w:p>
    <w:p w14:paraId="1AF51642">
      <w:pPr>
        <w:pStyle w:val="17"/>
        <w:adjustRightInd w:val="0"/>
        <w:snapToGrid w:val="0"/>
        <w:ind w:firstLine="0" w:firstLineChars="0"/>
        <w:rPr>
          <w:color w:val="auto"/>
          <w:highlight w:val="none"/>
        </w:rPr>
      </w:pPr>
    </w:p>
    <w:p w14:paraId="4B85DD7B">
      <w:pPr>
        <w:pStyle w:val="17"/>
        <w:adjustRightInd w:val="0"/>
        <w:snapToGrid w:val="0"/>
        <w:ind w:firstLine="0" w:firstLineChars="0"/>
        <w:rPr>
          <w:color w:val="auto"/>
          <w:highlight w:val="none"/>
        </w:rPr>
      </w:pPr>
    </w:p>
    <w:tbl>
      <w:tblPr>
        <w:tblStyle w:val="15"/>
        <w:tblW w:w="8908" w:type="dxa"/>
        <w:jc w:val="center"/>
        <w:tblLayout w:type="fixed"/>
        <w:tblCellMar>
          <w:top w:w="0" w:type="dxa"/>
          <w:left w:w="28" w:type="dxa"/>
          <w:bottom w:w="0" w:type="dxa"/>
          <w:right w:w="28" w:type="dxa"/>
        </w:tblCellMar>
      </w:tblPr>
      <w:tblGrid>
        <w:gridCol w:w="8908"/>
      </w:tblGrid>
      <w:tr w14:paraId="12565477">
        <w:tblPrEx>
          <w:tblCellMar>
            <w:top w:w="0" w:type="dxa"/>
            <w:left w:w="28" w:type="dxa"/>
            <w:bottom w:w="0" w:type="dxa"/>
            <w:right w:w="28" w:type="dxa"/>
          </w:tblCellMar>
        </w:tblPrEx>
        <w:trPr>
          <w:cantSplit/>
          <w:trHeight w:val="540" w:hRule="atLeast"/>
          <w:jc w:val="center"/>
        </w:trPr>
        <w:tc>
          <w:tcPr>
            <w:tcW w:w="8908" w:type="dxa"/>
            <w:vAlign w:val="center"/>
          </w:tcPr>
          <w:p w14:paraId="4C8E61F5">
            <w:pPr>
              <w:spacing w:line="360" w:lineRule="auto"/>
              <w:ind w:firstLine="2823" w:firstLineChars="1339"/>
              <w:rPr>
                <w:rFonts w:ascii="宋体" w:hAnsi="宋体"/>
                <w:b/>
                <w:color w:val="auto"/>
                <w:highlight w:val="none"/>
              </w:rPr>
            </w:pPr>
          </w:p>
        </w:tc>
      </w:tr>
      <w:tr w14:paraId="117C34A3">
        <w:tblPrEx>
          <w:tblCellMar>
            <w:top w:w="0" w:type="dxa"/>
            <w:left w:w="28" w:type="dxa"/>
            <w:bottom w:w="0" w:type="dxa"/>
            <w:right w:w="28" w:type="dxa"/>
          </w:tblCellMar>
        </w:tblPrEx>
        <w:trPr>
          <w:cantSplit/>
          <w:trHeight w:val="540" w:hRule="atLeast"/>
          <w:jc w:val="center"/>
        </w:trPr>
        <w:tc>
          <w:tcPr>
            <w:tcW w:w="8908" w:type="dxa"/>
            <w:vAlign w:val="center"/>
          </w:tcPr>
          <w:p w14:paraId="3665BA5C">
            <w:pPr>
              <w:spacing w:line="360" w:lineRule="auto"/>
              <w:ind w:firstLine="2823" w:firstLineChars="1339"/>
              <w:rPr>
                <w:rFonts w:ascii="宋体" w:hAnsi="宋体"/>
                <w:b/>
                <w:color w:val="auto"/>
                <w:highlight w:val="none"/>
              </w:rPr>
            </w:pPr>
          </w:p>
          <w:p w14:paraId="75877F63">
            <w:pPr>
              <w:spacing w:line="360" w:lineRule="auto"/>
              <w:ind w:firstLine="2823" w:firstLineChars="1339"/>
              <w:rPr>
                <w:rFonts w:ascii="宋体" w:hAnsi="宋体"/>
                <w:b/>
                <w:color w:val="auto"/>
                <w:highlight w:val="none"/>
              </w:rPr>
            </w:pPr>
          </w:p>
        </w:tc>
      </w:tr>
      <w:tr w14:paraId="56DA6F79">
        <w:tblPrEx>
          <w:tblCellMar>
            <w:top w:w="0" w:type="dxa"/>
            <w:left w:w="28" w:type="dxa"/>
            <w:bottom w:w="0" w:type="dxa"/>
            <w:right w:w="28" w:type="dxa"/>
          </w:tblCellMar>
        </w:tblPrEx>
        <w:trPr>
          <w:cantSplit/>
          <w:trHeight w:val="540" w:hRule="atLeast"/>
          <w:jc w:val="center"/>
        </w:trPr>
        <w:tc>
          <w:tcPr>
            <w:tcW w:w="8908" w:type="dxa"/>
            <w:vAlign w:val="center"/>
          </w:tcPr>
          <w:p w14:paraId="2ABB0674">
            <w:pPr>
              <w:spacing w:line="360" w:lineRule="auto"/>
              <w:jc w:val="center"/>
              <w:rPr>
                <w:rFonts w:ascii="宋体" w:hAnsi="宋体"/>
                <w:b/>
                <w:bCs/>
                <w:color w:val="auto"/>
                <w:spacing w:val="20"/>
                <w:highlight w:val="none"/>
              </w:rPr>
            </w:pPr>
            <w:r>
              <w:rPr>
                <w:rFonts w:hint="eastAsia" w:ascii="宋体" w:hAnsi="宋体"/>
                <w:b/>
                <w:color w:val="auto"/>
                <w:highlight w:val="none"/>
              </w:rPr>
              <w:t>广东电网有限责任公司广州供电局</w:t>
            </w:r>
          </w:p>
          <w:tbl>
            <w:tblPr>
              <w:tblStyle w:val="15"/>
              <w:tblW w:w="8908" w:type="dxa"/>
              <w:jc w:val="center"/>
              <w:tblLayout w:type="fixed"/>
              <w:tblCellMar>
                <w:top w:w="0" w:type="dxa"/>
                <w:left w:w="28" w:type="dxa"/>
                <w:bottom w:w="0" w:type="dxa"/>
                <w:right w:w="28" w:type="dxa"/>
              </w:tblCellMar>
            </w:tblPr>
            <w:tblGrid>
              <w:gridCol w:w="8908"/>
            </w:tblGrid>
            <w:tr w14:paraId="51CE5694">
              <w:tblPrEx>
                <w:tblCellMar>
                  <w:top w:w="0" w:type="dxa"/>
                  <w:left w:w="28" w:type="dxa"/>
                  <w:bottom w:w="0" w:type="dxa"/>
                  <w:right w:w="28" w:type="dxa"/>
                </w:tblCellMar>
              </w:tblPrEx>
              <w:trPr>
                <w:cantSplit/>
                <w:trHeight w:val="786" w:hRule="atLeast"/>
                <w:jc w:val="center"/>
              </w:trPr>
              <w:tc>
                <w:tcPr>
                  <w:tcW w:w="8908" w:type="dxa"/>
                  <w:vAlign w:val="center"/>
                </w:tcPr>
                <w:p w14:paraId="66F6365A">
                  <w:pPr>
                    <w:spacing w:line="360" w:lineRule="auto"/>
                    <w:jc w:val="center"/>
                    <w:rPr>
                      <w:rFonts w:ascii="宋体" w:hAnsi="宋体"/>
                      <w:b/>
                      <w:bCs/>
                      <w:color w:val="auto"/>
                      <w:spacing w:val="20"/>
                      <w:highlight w:val="none"/>
                    </w:rPr>
                  </w:pPr>
                  <w:r>
                    <w:rPr>
                      <w:rFonts w:hint="eastAsia" w:ascii="宋体" w:hAnsi="宋体"/>
                      <w:b/>
                      <w:bCs/>
                      <w:color w:val="auto"/>
                      <w:spacing w:val="20"/>
                      <w:highlight w:val="none"/>
                    </w:rPr>
                    <w:t>二〇二</w:t>
                  </w:r>
                  <w:r>
                    <w:rPr>
                      <w:rFonts w:hint="eastAsia" w:ascii="宋体" w:hAnsi="宋体"/>
                      <w:b/>
                      <w:bCs/>
                      <w:color w:val="auto"/>
                      <w:spacing w:val="20"/>
                      <w:highlight w:val="none"/>
                      <w:lang w:val="en-US" w:eastAsia="zh-CN"/>
                    </w:rPr>
                    <w:t>五</w:t>
                  </w:r>
                  <w:r>
                    <w:rPr>
                      <w:rFonts w:hint="eastAsia" w:ascii="宋体" w:hAnsi="宋体"/>
                      <w:b/>
                      <w:bCs/>
                      <w:color w:val="auto"/>
                      <w:spacing w:val="20"/>
                      <w:highlight w:val="none"/>
                    </w:rPr>
                    <w:t>年</w:t>
                  </w:r>
                  <w:r>
                    <w:rPr>
                      <w:rFonts w:hint="eastAsia" w:ascii="宋体" w:hAnsi="宋体"/>
                      <w:b/>
                      <w:bCs/>
                      <w:color w:val="auto"/>
                      <w:spacing w:val="20"/>
                      <w:highlight w:val="none"/>
                      <w:lang w:eastAsia="zh-CN"/>
                    </w:rPr>
                    <w:t>十</w:t>
                  </w:r>
                  <w:r>
                    <w:rPr>
                      <w:rFonts w:hint="eastAsia" w:ascii="宋体" w:hAnsi="宋体"/>
                      <w:b/>
                      <w:bCs/>
                      <w:color w:val="auto"/>
                      <w:spacing w:val="20"/>
                      <w:highlight w:val="none"/>
                    </w:rPr>
                    <w:t>月</w:t>
                  </w:r>
                </w:p>
              </w:tc>
            </w:tr>
          </w:tbl>
          <w:p w14:paraId="7A0A988F">
            <w:pPr>
              <w:spacing w:line="360" w:lineRule="auto"/>
              <w:rPr>
                <w:rFonts w:ascii="宋体" w:hAnsi="宋体"/>
                <w:b/>
                <w:bCs/>
                <w:color w:val="auto"/>
                <w:highlight w:val="none"/>
              </w:rPr>
            </w:pPr>
          </w:p>
        </w:tc>
      </w:tr>
    </w:tbl>
    <w:p w14:paraId="6B6E0786">
      <w:pPr>
        <w:spacing w:before="0" w:beforeLines="0" w:after="0" w:afterLines="0" w:line="240" w:lineRule="auto"/>
        <w:ind w:left="0" w:leftChars="0" w:right="0" w:rightChars="0" w:firstLine="0" w:firstLineChars="0"/>
        <w:jc w:val="center"/>
        <w:rPr>
          <w:rFonts w:ascii="宋体" w:hAnsi="宋体" w:eastAsia="宋体" w:cstheme="minorBidi"/>
          <w:color w:val="auto"/>
          <w:kern w:val="2"/>
          <w:sz w:val="21"/>
          <w:szCs w:val="24"/>
          <w:highlight w:val="none"/>
          <w:lang w:val="en-US" w:eastAsia="zh-CN" w:bidi="ar-SA"/>
        </w:rPr>
        <w:sectPr>
          <w:pgSz w:w="11906" w:h="16838"/>
          <w:pgMar w:top="1440" w:right="1800" w:bottom="1440" w:left="1800" w:header="851" w:footer="992" w:gutter="0"/>
          <w:cols w:space="425" w:num="1"/>
          <w:docGrid w:type="lines" w:linePitch="312" w:charSpace="0"/>
        </w:sectPr>
      </w:pPr>
    </w:p>
    <w:sdt>
      <w:sdtPr>
        <w:rPr>
          <w:rFonts w:ascii="宋体" w:hAnsi="宋体" w:eastAsia="宋体" w:cstheme="minorBidi"/>
          <w:color w:val="auto"/>
          <w:kern w:val="2"/>
          <w:sz w:val="21"/>
          <w:szCs w:val="24"/>
          <w:highlight w:val="none"/>
          <w:lang w:val="en-US" w:eastAsia="zh-CN" w:bidi="ar-SA"/>
        </w:rPr>
        <w:id w:val="147455837"/>
        <w15:color w:val="DBDBDB"/>
        <w:docPartObj>
          <w:docPartGallery w:val="Table of Contents"/>
          <w:docPartUnique/>
        </w:docPartObj>
      </w:sdtPr>
      <w:sdtEndPr>
        <w:rPr>
          <w:rFonts w:ascii="宋体" w:hAnsi="宋体" w:eastAsia="宋体" w:cstheme="minorBidi"/>
          <w:color w:val="auto"/>
          <w:kern w:val="2"/>
          <w:sz w:val="21"/>
          <w:szCs w:val="24"/>
          <w:highlight w:val="none"/>
          <w:lang w:val="en-US" w:eastAsia="zh-CN" w:bidi="ar-SA"/>
        </w:rPr>
      </w:sdtEndPr>
      <w:sdtContent>
        <w:p w14:paraId="7A7FA070">
          <w:pPr>
            <w:spacing w:before="0" w:beforeLines="0" w:after="0" w:afterLines="0" w:line="240" w:lineRule="auto"/>
            <w:ind w:left="0" w:leftChars="0" w:right="0" w:rightChars="0" w:firstLine="0" w:firstLineChars="0"/>
            <w:jc w:val="center"/>
            <w:rPr>
              <w:color w:val="auto"/>
              <w:highlight w:val="none"/>
            </w:rPr>
          </w:pPr>
          <w:r>
            <w:rPr>
              <w:rFonts w:ascii="宋体" w:hAnsi="宋体" w:eastAsia="宋体"/>
              <w:color w:val="auto"/>
              <w:sz w:val="21"/>
              <w:highlight w:val="none"/>
            </w:rPr>
            <w:t>目录</w:t>
          </w:r>
        </w:p>
        <w:p w14:paraId="69485752">
          <w:pPr>
            <w:pStyle w:val="13"/>
            <w:tabs>
              <w:tab w:val="right" w:leader="dot" w:pos="8306"/>
            </w:tabs>
            <w:ind w:left="0" w:leftChars="0" w:firstLine="0" w:firstLineChars="0"/>
            <w:rPr>
              <w:color w:val="auto"/>
              <w:highlight w:val="none"/>
            </w:rPr>
          </w:pPr>
          <w:r>
            <w:rPr>
              <w:color w:val="auto"/>
              <w:highlight w:val="none"/>
            </w:rPr>
            <w:fldChar w:fldCharType="begin"/>
          </w:r>
          <w:r>
            <w:rPr>
              <w:color w:val="auto"/>
              <w:highlight w:val="none"/>
            </w:rPr>
            <w:instrText xml:space="preserve">TOC \o "1-2" \h \u </w:instrText>
          </w:r>
          <w:r>
            <w:rPr>
              <w:color w:val="auto"/>
              <w:highlight w:val="none"/>
            </w:rPr>
            <w:fldChar w:fldCharType="separate"/>
          </w:r>
          <w:r>
            <w:rPr>
              <w:color w:val="auto"/>
              <w:highlight w:val="none"/>
            </w:rPr>
            <w:fldChar w:fldCharType="begin"/>
          </w:r>
          <w:r>
            <w:rPr>
              <w:color w:val="auto"/>
              <w:highlight w:val="none"/>
            </w:rPr>
            <w:instrText xml:space="preserve"> HYPERLINK \l _Toc24448 </w:instrText>
          </w:r>
          <w:r>
            <w:rPr>
              <w:color w:val="auto"/>
              <w:highlight w:val="none"/>
            </w:rPr>
            <w:fldChar w:fldCharType="separate"/>
          </w:r>
          <w:r>
            <w:rPr>
              <w:rFonts w:hint="eastAsia" w:ascii="宋体" w:eastAsia="宋体" w:cs="Times New Roman"/>
              <w:bCs/>
              <w:color w:val="auto"/>
              <w:kern w:val="44"/>
              <w:szCs w:val="24"/>
              <w:highlight w:val="none"/>
              <w:lang w:val="en-US" w:eastAsia="zh-CN" w:bidi="ar-SA"/>
            </w:rPr>
            <w:t>一、</w:t>
          </w:r>
          <w:r>
            <w:rPr>
              <w:rFonts w:hint="eastAsia" w:ascii="宋体" w:hAnsi="宋体" w:eastAsia="宋体" w:cs="Times New Roman"/>
              <w:bCs/>
              <w:color w:val="auto"/>
              <w:kern w:val="44"/>
              <w:szCs w:val="24"/>
              <w:highlight w:val="none"/>
              <w:lang w:val="en-US" w:eastAsia="zh-CN" w:bidi="ar-SA"/>
            </w:rPr>
            <w:t>项目描述</w:t>
          </w:r>
          <w:r>
            <w:rPr>
              <w:color w:val="auto"/>
              <w:highlight w:val="none"/>
            </w:rPr>
            <w:tab/>
          </w:r>
          <w:r>
            <w:rPr>
              <w:color w:val="auto"/>
              <w:highlight w:val="none"/>
            </w:rPr>
            <w:fldChar w:fldCharType="begin"/>
          </w:r>
          <w:r>
            <w:rPr>
              <w:color w:val="auto"/>
              <w:highlight w:val="none"/>
            </w:rPr>
            <w:instrText xml:space="preserve"> PAGEREF _Toc24448 \h </w:instrText>
          </w:r>
          <w:r>
            <w:rPr>
              <w:color w:val="auto"/>
              <w:highlight w:val="none"/>
            </w:rPr>
            <w:fldChar w:fldCharType="separate"/>
          </w:r>
          <w:r>
            <w:rPr>
              <w:color w:val="auto"/>
              <w:highlight w:val="none"/>
            </w:rPr>
            <w:t>2</w:t>
          </w:r>
          <w:r>
            <w:rPr>
              <w:color w:val="auto"/>
              <w:highlight w:val="none"/>
            </w:rPr>
            <w:fldChar w:fldCharType="end"/>
          </w:r>
          <w:r>
            <w:rPr>
              <w:color w:val="auto"/>
              <w:highlight w:val="none"/>
            </w:rPr>
            <w:fldChar w:fldCharType="end"/>
          </w:r>
        </w:p>
        <w:p w14:paraId="201B5AE0">
          <w:pPr>
            <w:pStyle w:val="12"/>
            <w:tabs>
              <w:tab w:val="right" w:leader="dot" w:pos="8306"/>
            </w:tabs>
            <w:rPr>
              <w:color w:val="auto"/>
              <w:highlight w:val="none"/>
            </w:rPr>
          </w:pPr>
          <w:r>
            <w:rPr>
              <w:color w:val="auto"/>
              <w:highlight w:val="none"/>
            </w:rPr>
            <w:fldChar w:fldCharType="begin"/>
          </w:r>
          <w:r>
            <w:rPr>
              <w:color w:val="auto"/>
              <w:highlight w:val="none"/>
            </w:rPr>
            <w:instrText xml:space="preserve"> HYPERLINK \l _Toc31100 </w:instrText>
          </w:r>
          <w:r>
            <w:rPr>
              <w:color w:val="auto"/>
              <w:highlight w:val="none"/>
            </w:rPr>
            <w:fldChar w:fldCharType="separate"/>
          </w:r>
          <w:r>
            <w:rPr>
              <w:rFonts w:hint="eastAsia" w:ascii="宋体" w:hAnsi="宋体" w:eastAsia="宋体" w:cs="Times New Roman"/>
              <w:bCs/>
              <w:color w:val="auto"/>
              <w:szCs w:val="24"/>
              <w:highlight w:val="none"/>
              <w:lang w:val="en-US" w:eastAsia="zh-CN"/>
            </w:rPr>
            <w:t>二、项目内容</w:t>
          </w:r>
          <w:r>
            <w:rPr>
              <w:color w:val="auto"/>
              <w:highlight w:val="none"/>
            </w:rPr>
            <w:tab/>
          </w:r>
          <w:r>
            <w:rPr>
              <w:color w:val="auto"/>
              <w:highlight w:val="none"/>
            </w:rPr>
            <w:fldChar w:fldCharType="begin"/>
          </w:r>
          <w:r>
            <w:rPr>
              <w:color w:val="auto"/>
              <w:highlight w:val="none"/>
            </w:rPr>
            <w:instrText xml:space="preserve"> PAGEREF _Toc31100 \h </w:instrText>
          </w:r>
          <w:r>
            <w:rPr>
              <w:color w:val="auto"/>
              <w:highlight w:val="none"/>
            </w:rPr>
            <w:fldChar w:fldCharType="separate"/>
          </w:r>
          <w:r>
            <w:rPr>
              <w:color w:val="auto"/>
              <w:highlight w:val="none"/>
            </w:rPr>
            <w:t>2</w:t>
          </w:r>
          <w:r>
            <w:rPr>
              <w:color w:val="auto"/>
              <w:highlight w:val="none"/>
            </w:rPr>
            <w:fldChar w:fldCharType="end"/>
          </w:r>
          <w:r>
            <w:rPr>
              <w:color w:val="auto"/>
              <w:highlight w:val="none"/>
            </w:rPr>
            <w:fldChar w:fldCharType="end"/>
          </w:r>
        </w:p>
        <w:p w14:paraId="252FAC25">
          <w:pPr>
            <w:pStyle w:val="12"/>
            <w:tabs>
              <w:tab w:val="right" w:leader="dot" w:pos="8306"/>
            </w:tabs>
            <w:rPr>
              <w:color w:val="auto"/>
              <w:highlight w:val="none"/>
            </w:rPr>
          </w:pPr>
          <w:r>
            <w:rPr>
              <w:color w:val="auto"/>
              <w:highlight w:val="none"/>
            </w:rPr>
            <w:fldChar w:fldCharType="begin"/>
          </w:r>
          <w:r>
            <w:rPr>
              <w:color w:val="auto"/>
              <w:highlight w:val="none"/>
            </w:rPr>
            <w:instrText xml:space="preserve"> HYPERLINK \l _Toc10384 </w:instrText>
          </w:r>
          <w:r>
            <w:rPr>
              <w:color w:val="auto"/>
              <w:highlight w:val="none"/>
            </w:rPr>
            <w:fldChar w:fldCharType="separate"/>
          </w:r>
          <w:r>
            <w:rPr>
              <w:rFonts w:hint="eastAsia" w:ascii="宋体" w:hAnsi="宋体" w:eastAsia="宋体" w:cs="Times New Roman"/>
              <w:bCs/>
              <w:color w:val="auto"/>
              <w:szCs w:val="24"/>
              <w:highlight w:val="none"/>
              <w:lang w:val="en-US" w:eastAsia="zh-CN"/>
            </w:rPr>
            <w:t>三、服务方式</w:t>
          </w:r>
          <w:r>
            <w:rPr>
              <w:color w:val="auto"/>
              <w:highlight w:val="none"/>
            </w:rPr>
            <w:tab/>
          </w:r>
          <w:r>
            <w:rPr>
              <w:color w:val="auto"/>
              <w:highlight w:val="none"/>
            </w:rPr>
            <w:fldChar w:fldCharType="begin"/>
          </w:r>
          <w:r>
            <w:rPr>
              <w:color w:val="auto"/>
              <w:highlight w:val="none"/>
            </w:rPr>
            <w:instrText xml:space="preserve"> PAGEREF _Toc10384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14:paraId="41B91B53">
          <w:pPr>
            <w:pStyle w:val="12"/>
            <w:tabs>
              <w:tab w:val="right" w:leader="dot" w:pos="8306"/>
            </w:tabs>
            <w:rPr>
              <w:color w:val="auto"/>
              <w:highlight w:val="none"/>
            </w:rPr>
          </w:pPr>
          <w:r>
            <w:rPr>
              <w:color w:val="auto"/>
              <w:highlight w:val="none"/>
            </w:rPr>
            <w:fldChar w:fldCharType="begin"/>
          </w:r>
          <w:r>
            <w:rPr>
              <w:color w:val="auto"/>
              <w:highlight w:val="none"/>
            </w:rPr>
            <w:instrText xml:space="preserve"> HYPERLINK \l _Toc22183 </w:instrText>
          </w:r>
          <w:r>
            <w:rPr>
              <w:color w:val="auto"/>
              <w:highlight w:val="none"/>
            </w:rPr>
            <w:fldChar w:fldCharType="separate"/>
          </w:r>
          <w:r>
            <w:rPr>
              <w:rFonts w:hint="eastAsia" w:ascii="宋体" w:hAnsi="宋体" w:eastAsia="宋体" w:cs="Times New Roman"/>
              <w:bCs/>
              <w:color w:val="auto"/>
              <w:szCs w:val="24"/>
              <w:highlight w:val="none"/>
              <w:lang w:val="en-US" w:eastAsia="zh-CN"/>
            </w:rPr>
            <w:t>四、项目要求</w:t>
          </w:r>
          <w:r>
            <w:rPr>
              <w:color w:val="auto"/>
              <w:highlight w:val="none"/>
            </w:rPr>
            <w:tab/>
          </w:r>
          <w:r>
            <w:rPr>
              <w:color w:val="auto"/>
              <w:highlight w:val="none"/>
            </w:rPr>
            <w:fldChar w:fldCharType="begin"/>
          </w:r>
          <w:r>
            <w:rPr>
              <w:color w:val="auto"/>
              <w:highlight w:val="none"/>
            </w:rPr>
            <w:instrText xml:space="preserve"> PAGEREF _Toc22183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14:paraId="12CAE04A">
          <w:pPr>
            <w:pStyle w:val="13"/>
            <w:tabs>
              <w:tab w:val="right" w:leader="dot" w:pos="8306"/>
            </w:tabs>
            <w:rPr>
              <w:color w:val="auto"/>
              <w:highlight w:val="none"/>
            </w:rPr>
          </w:pPr>
          <w:r>
            <w:rPr>
              <w:color w:val="auto"/>
              <w:highlight w:val="none"/>
            </w:rPr>
            <w:fldChar w:fldCharType="begin"/>
          </w:r>
          <w:r>
            <w:rPr>
              <w:color w:val="auto"/>
              <w:highlight w:val="none"/>
            </w:rPr>
            <w:instrText xml:space="preserve"> HYPERLINK \l _Toc17180 </w:instrText>
          </w:r>
          <w:r>
            <w:rPr>
              <w:color w:val="auto"/>
              <w:highlight w:val="none"/>
            </w:rPr>
            <w:fldChar w:fldCharType="separate"/>
          </w:r>
          <w:r>
            <w:rPr>
              <w:rFonts w:hint="eastAsia" w:ascii="宋体" w:hAnsi="宋体" w:eastAsia="宋体" w:cs="Times New Roman"/>
              <w:bCs/>
              <w:color w:val="auto"/>
              <w:szCs w:val="24"/>
              <w:highlight w:val="none"/>
              <w:lang w:val="en-US" w:eastAsia="zh-CN"/>
            </w:rPr>
            <w:t>（一）团队管理要求</w:t>
          </w:r>
          <w:r>
            <w:rPr>
              <w:color w:val="auto"/>
              <w:highlight w:val="none"/>
            </w:rPr>
            <w:tab/>
          </w:r>
          <w:r>
            <w:rPr>
              <w:color w:val="auto"/>
              <w:highlight w:val="none"/>
            </w:rPr>
            <w:fldChar w:fldCharType="begin"/>
          </w:r>
          <w:r>
            <w:rPr>
              <w:color w:val="auto"/>
              <w:highlight w:val="none"/>
            </w:rPr>
            <w:instrText xml:space="preserve"> PAGEREF _Toc17180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14:paraId="69002E42">
          <w:pPr>
            <w:pStyle w:val="13"/>
            <w:tabs>
              <w:tab w:val="right" w:leader="dot" w:pos="8306"/>
            </w:tabs>
            <w:rPr>
              <w:color w:val="auto"/>
              <w:highlight w:val="none"/>
            </w:rPr>
          </w:pPr>
          <w:r>
            <w:rPr>
              <w:color w:val="auto"/>
              <w:highlight w:val="none"/>
            </w:rPr>
            <w:fldChar w:fldCharType="begin"/>
          </w:r>
          <w:r>
            <w:rPr>
              <w:color w:val="auto"/>
              <w:highlight w:val="none"/>
            </w:rPr>
            <w:instrText xml:space="preserve"> HYPERLINK \l _Toc24450 </w:instrText>
          </w:r>
          <w:r>
            <w:rPr>
              <w:color w:val="auto"/>
              <w:highlight w:val="none"/>
            </w:rPr>
            <w:fldChar w:fldCharType="separate"/>
          </w:r>
          <w:r>
            <w:rPr>
              <w:rFonts w:hint="eastAsia" w:ascii="宋体" w:hAnsi="宋体" w:eastAsia="宋体" w:cs="Times New Roman"/>
              <w:bCs/>
              <w:color w:val="auto"/>
              <w:szCs w:val="24"/>
              <w:highlight w:val="none"/>
              <w:lang w:val="en-US" w:eastAsia="zh-CN"/>
            </w:rPr>
            <w:t>（二）业务管理要求</w:t>
          </w:r>
          <w:r>
            <w:rPr>
              <w:color w:val="auto"/>
              <w:highlight w:val="none"/>
            </w:rPr>
            <w:tab/>
          </w:r>
          <w:r>
            <w:rPr>
              <w:color w:val="auto"/>
              <w:highlight w:val="none"/>
            </w:rPr>
            <w:fldChar w:fldCharType="begin"/>
          </w:r>
          <w:r>
            <w:rPr>
              <w:color w:val="auto"/>
              <w:highlight w:val="none"/>
            </w:rPr>
            <w:instrText xml:space="preserve"> PAGEREF _Toc24450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14:paraId="08CF59B5">
          <w:pPr>
            <w:pStyle w:val="13"/>
            <w:tabs>
              <w:tab w:val="right" w:leader="dot" w:pos="8306"/>
            </w:tabs>
            <w:rPr>
              <w:color w:val="auto"/>
              <w:highlight w:val="none"/>
            </w:rPr>
          </w:pPr>
          <w:r>
            <w:rPr>
              <w:color w:val="auto"/>
              <w:highlight w:val="none"/>
            </w:rPr>
            <w:fldChar w:fldCharType="begin"/>
          </w:r>
          <w:r>
            <w:rPr>
              <w:color w:val="auto"/>
              <w:highlight w:val="none"/>
            </w:rPr>
            <w:instrText xml:space="preserve"> HYPERLINK \l _Toc21295 </w:instrText>
          </w:r>
          <w:r>
            <w:rPr>
              <w:color w:val="auto"/>
              <w:highlight w:val="none"/>
            </w:rPr>
            <w:fldChar w:fldCharType="separate"/>
          </w:r>
          <w:r>
            <w:rPr>
              <w:rFonts w:hint="eastAsia" w:ascii="宋体" w:hAnsi="宋体" w:eastAsia="宋体" w:cs="Times New Roman"/>
              <w:bCs/>
              <w:color w:val="auto"/>
              <w:szCs w:val="24"/>
              <w:highlight w:val="none"/>
              <w:lang w:val="en-US" w:eastAsia="zh-CN"/>
            </w:rPr>
            <w:t>（三）结算管理要求</w:t>
          </w:r>
          <w:r>
            <w:rPr>
              <w:color w:val="auto"/>
              <w:highlight w:val="none"/>
            </w:rPr>
            <w:tab/>
          </w:r>
          <w:r>
            <w:rPr>
              <w:color w:val="auto"/>
              <w:highlight w:val="none"/>
            </w:rPr>
            <w:fldChar w:fldCharType="begin"/>
          </w:r>
          <w:r>
            <w:rPr>
              <w:color w:val="auto"/>
              <w:highlight w:val="none"/>
            </w:rPr>
            <w:instrText xml:space="preserve"> PAGEREF _Toc21295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52249591">
          <w:pPr>
            <w:pStyle w:val="12"/>
            <w:tabs>
              <w:tab w:val="right" w:leader="dot" w:pos="8306"/>
            </w:tabs>
            <w:rPr>
              <w:color w:val="auto"/>
              <w:highlight w:val="none"/>
            </w:rPr>
          </w:pPr>
          <w:r>
            <w:rPr>
              <w:color w:val="auto"/>
              <w:highlight w:val="none"/>
            </w:rPr>
            <w:fldChar w:fldCharType="begin"/>
          </w:r>
          <w:r>
            <w:rPr>
              <w:color w:val="auto"/>
              <w:highlight w:val="none"/>
            </w:rPr>
            <w:instrText xml:space="preserve"> HYPERLINK \l _Toc4861 </w:instrText>
          </w:r>
          <w:r>
            <w:rPr>
              <w:color w:val="auto"/>
              <w:highlight w:val="none"/>
            </w:rPr>
            <w:fldChar w:fldCharType="separate"/>
          </w:r>
          <w:r>
            <w:rPr>
              <w:rFonts w:hint="eastAsia" w:ascii="宋体" w:hAnsi="宋体" w:eastAsia="宋体" w:cs="Times New Roman"/>
              <w:bCs/>
              <w:color w:val="auto"/>
              <w:szCs w:val="24"/>
              <w:highlight w:val="none"/>
              <w:lang w:val="en-US" w:eastAsia="zh-CN"/>
            </w:rPr>
            <w:t>五、服务评价</w:t>
          </w:r>
          <w:r>
            <w:rPr>
              <w:color w:val="auto"/>
              <w:highlight w:val="none"/>
            </w:rPr>
            <w:tab/>
          </w:r>
          <w:r>
            <w:rPr>
              <w:color w:val="auto"/>
              <w:highlight w:val="none"/>
            </w:rPr>
            <w:fldChar w:fldCharType="begin"/>
          </w:r>
          <w:r>
            <w:rPr>
              <w:color w:val="auto"/>
              <w:highlight w:val="none"/>
            </w:rPr>
            <w:instrText xml:space="preserve"> PAGEREF _Toc4861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10B40D06">
          <w:pPr>
            <w:pStyle w:val="12"/>
            <w:tabs>
              <w:tab w:val="right" w:leader="dot" w:pos="8306"/>
            </w:tabs>
            <w:rPr>
              <w:color w:val="auto"/>
              <w:highlight w:val="none"/>
            </w:rPr>
          </w:pPr>
          <w:r>
            <w:rPr>
              <w:color w:val="auto"/>
              <w:highlight w:val="none"/>
            </w:rPr>
            <w:fldChar w:fldCharType="begin"/>
          </w:r>
          <w:r>
            <w:rPr>
              <w:color w:val="auto"/>
              <w:highlight w:val="none"/>
            </w:rPr>
            <w:instrText xml:space="preserve"> HYPERLINK \l _Toc25284 </w:instrText>
          </w:r>
          <w:r>
            <w:rPr>
              <w:color w:val="auto"/>
              <w:highlight w:val="none"/>
            </w:rPr>
            <w:fldChar w:fldCharType="separate"/>
          </w:r>
          <w:r>
            <w:rPr>
              <w:rFonts w:hint="eastAsia" w:ascii="宋体" w:hAnsi="宋体" w:eastAsia="宋体" w:cs="Times New Roman"/>
              <w:bCs/>
              <w:color w:val="auto"/>
              <w:szCs w:val="24"/>
              <w:highlight w:val="none"/>
              <w:lang w:val="en-US" w:eastAsia="zh-CN"/>
            </w:rPr>
            <w:t>六、 服务报酬</w:t>
          </w:r>
          <w:r>
            <w:rPr>
              <w:color w:val="auto"/>
              <w:highlight w:val="none"/>
            </w:rPr>
            <w:tab/>
          </w:r>
          <w:r>
            <w:rPr>
              <w:color w:val="auto"/>
              <w:highlight w:val="none"/>
            </w:rPr>
            <w:fldChar w:fldCharType="begin"/>
          </w:r>
          <w:r>
            <w:rPr>
              <w:color w:val="auto"/>
              <w:highlight w:val="none"/>
            </w:rPr>
            <w:instrText xml:space="preserve"> PAGEREF _Toc25284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098D83B0">
          <w:pPr>
            <w:pStyle w:val="12"/>
            <w:tabs>
              <w:tab w:val="right" w:leader="dot" w:pos="8306"/>
            </w:tabs>
            <w:rPr>
              <w:color w:val="auto"/>
              <w:highlight w:val="none"/>
            </w:rPr>
          </w:pPr>
          <w:r>
            <w:rPr>
              <w:color w:val="auto"/>
              <w:highlight w:val="none"/>
            </w:rPr>
            <w:fldChar w:fldCharType="begin"/>
          </w:r>
          <w:r>
            <w:rPr>
              <w:color w:val="auto"/>
              <w:highlight w:val="none"/>
            </w:rPr>
            <w:instrText xml:space="preserve"> HYPERLINK \l _Toc24050 </w:instrText>
          </w:r>
          <w:r>
            <w:rPr>
              <w:color w:val="auto"/>
              <w:highlight w:val="none"/>
            </w:rPr>
            <w:fldChar w:fldCharType="separate"/>
          </w:r>
          <w:r>
            <w:rPr>
              <w:rFonts w:hint="eastAsia" w:ascii="宋体" w:hAnsi="宋体" w:eastAsia="宋体" w:cs="Times New Roman"/>
              <w:color w:val="auto"/>
              <w:szCs w:val="24"/>
              <w:highlight w:val="none"/>
              <w:lang w:val="en-US" w:eastAsia="zh-CN"/>
            </w:rPr>
            <w:t>附件1：</w:t>
          </w:r>
          <w:r>
            <w:rPr>
              <w:color w:val="auto"/>
              <w:highlight w:val="none"/>
            </w:rPr>
            <w:fldChar w:fldCharType="end"/>
          </w:r>
          <w:r>
            <w:rPr>
              <w:color w:val="auto"/>
              <w:highlight w:val="none"/>
            </w:rPr>
            <w:fldChar w:fldCharType="begin"/>
          </w:r>
          <w:r>
            <w:rPr>
              <w:color w:val="auto"/>
              <w:highlight w:val="none"/>
            </w:rPr>
            <w:instrText xml:space="preserve"> HYPERLINK \l _Toc5966 </w:instrText>
          </w:r>
          <w:r>
            <w:rPr>
              <w:color w:val="auto"/>
              <w:highlight w:val="none"/>
            </w:rPr>
            <w:fldChar w:fldCharType="separate"/>
          </w:r>
          <w:r>
            <w:rPr>
              <w:rFonts w:hint="eastAsia" w:ascii="宋体" w:hAnsi="宋体"/>
              <w:bCs/>
              <w:color w:val="auto"/>
              <w:szCs w:val="28"/>
              <w:highlight w:val="none"/>
            </w:rPr>
            <w:t>考核办法</w:t>
          </w:r>
          <w:r>
            <w:rPr>
              <w:color w:val="auto"/>
              <w:highlight w:val="none"/>
            </w:rPr>
            <w:tab/>
          </w:r>
          <w:r>
            <w:rPr>
              <w:color w:val="auto"/>
              <w:highlight w:val="none"/>
            </w:rPr>
            <w:fldChar w:fldCharType="begin"/>
          </w:r>
          <w:r>
            <w:rPr>
              <w:color w:val="auto"/>
              <w:highlight w:val="none"/>
            </w:rPr>
            <w:instrText xml:space="preserve"> PAGEREF _Toc5966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14:paraId="1779A175">
          <w:pPr>
            <w:pStyle w:val="12"/>
            <w:tabs>
              <w:tab w:val="right" w:leader="dot" w:pos="8306"/>
            </w:tabs>
            <w:rPr>
              <w:color w:val="auto"/>
              <w:highlight w:val="none"/>
            </w:rPr>
          </w:pPr>
          <w:r>
            <w:rPr>
              <w:color w:val="auto"/>
              <w:highlight w:val="none"/>
            </w:rPr>
            <w:fldChar w:fldCharType="begin"/>
          </w:r>
          <w:r>
            <w:rPr>
              <w:color w:val="auto"/>
              <w:highlight w:val="none"/>
            </w:rPr>
            <w:instrText xml:space="preserve"> HYPERLINK \l _Toc21828 </w:instrText>
          </w:r>
          <w:r>
            <w:rPr>
              <w:color w:val="auto"/>
              <w:highlight w:val="none"/>
            </w:rPr>
            <w:fldChar w:fldCharType="separate"/>
          </w:r>
          <w:r>
            <w:rPr>
              <w:rFonts w:hint="eastAsia" w:ascii="宋体" w:hAnsi="宋体" w:eastAsia="宋体" w:cs="Times New Roman"/>
              <w:bCs/>
              <w:color w:val="auto"/>
              <w:szCs w:val="24"/>
              <w:highlight w:val="none"/>
              <w:lang w:val="en-US" w:eastAsia="zh-CN"/>
            </w:rPr>
            <w:t>一、考核项及评分标准</w:t>
          </w:r>
          <w:r>
            <w:rPr>
              <w:color w:val="auto"/>
              <w:highlight w:val="none"/>
            </w:rPr>
            <w:tab/>
          </w:r>
          <w:r>
            <w:rPr>
              <w:color w:val="auto"/>
              <w:highlight w:val="none"/>
            </w:rPr>
            <w:fldChar w:fldCharType="begin"/>
          </w:r>
          <w:r>
            <w:rPr>
              <w:color w:val="auto"/>
              <w:highlight w:val="none"/>
            </w:rPr>
            <w:instrText xml:space="preserve"> PAGEREF _Toc21828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14:paraId="62D3E88A">
          <w:pPr>
            <w:pStyle w:val="12"/>
            <w:tabs>
              <w:tab w:val="right" w:leader="dot" w:pos="8306"/>
            </w:tabs>
            <w:rPr>
              <w:color w:val="auto"/>
              <w:highlight w:val="none"/>
            </w:rPr>
          </w:pPr>
          <w:r>
            <w:rPr>
              <w:color w:val="auto"/>
              <w:highlight w:val="none"/>
            </w:rPr>
            <w:fldChar w:fldCharType="begin"/>
          </w:r>
          <w:r>
            <w:rPr>
              <w:color w:val="auto"/>
              <w:highlight w:val="none"/>
            </w:rPr>
            <w:instrText xml:space="preserve"> HYPERLINK \l _Toc18740 </w:instrText>
          </w:r>
          <w:r>
            <w:rPr>
              <w:color w:val="auto"/>
              <w:highlight w:val="none"/>
            </w:rPr>
            <w:fldChar w:fldCharType="separate"/>
          </w:r>
          <w:r>
            <w:rPr>
              <w:rFonts w:hint="eastAsia" w:ascii="宋体" w:hAnsi="宋体" w:eastAsia="宋体" w:cs="Times New Roman"/>
              <w:bCs/>
              <w:color w:val="auto"/>
              <w:szCs w:val="24"/>
              <w:highlight w:val="none"/>
              <w:lang w:val="en-US" w:eastAsia="zh-CN"/>
            </w:rPr>
            <w:t>二.考核等级</w:t>
          </w:r>
          <w:r>
            <w:rPr>
              <w:color w:val="auto"/>
              <w:highlight w:val="none"/>
            </w:rPr>
            <w:tab/>
          </w:r>
          <w:r>
            <w:rPr>
              <w:color w:val="auto"/>
              <w:highlight w:val="none"/>
            </w:rPr>
            <w:fldChar w:fldCharType="begin"/>
          </w:r>
          <w:r>
            <w:rPr>
              <w:color w:val="auto"/>
              <w:highlight w:val="none"/>
            </w:rPr>
            <w:instrText xml:space="preserve"> PAGEREF _Toc18740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0D245476">
          <w:pPr>
            <w:rPr>
              <w:color w:val="auto"/>
              <w:highlight w:val="none"/>
            </w:rPr>
          </w:pPr>
          <w:r>
            <w:rPr>
              <w:color w:val="auto"/>
              <w:highlight w:val="none"/>
            </w:rPr>
            <w:fldChar w:fldCharType="end"/>
          </w:r>
        </w:p>
      </w:sdtContent>
    </w:sdt>
    <w:p w14:paraId="5694EED1">
      <w:pPr>
        <w:rPr>
          <w:rFonts w:hint="eastAsia" w:ascii="宋体" w:hAnsi="宋体" w:eastAsia="宋体" w:cs="Times New Roman"/>
          <w:b/>
          <w:bCs/>
          <w:color w:val="auto"/>
          <w:kern w:val="44"/>
          <w:sz w:val="24"/>
          <w:szCs w:val="24"/>
          <w:highlight w:val="none"/>
          <w:lang w:val="en-US" w:eastAsia="zh-CN" w:bidi="ar-SA"/>
        </w:rPr>
      </w:pPr>
      <w:r>
        <w:rPr>
          <w:rFonts w:hint="eastAsia" w:ascii="宋体" w:hAnsi="宋体" w:eastAsia="宋体" w:cs="Times New Roman"/>
          <w:b/>
          <w:bCs/>
          <w:color w:val="auto"/>
          <w:kern w:val="44"/>
          <w:sz w:val="24"/>
          <w:szCs w:val="24"/>
          <w:highlight w:val="none"/>
          <w:lang w:val="en-US" w:eastAsia="zh-CN" w:bidi="ar-SA"/>
        </w:rPr>
        <w:br w:type="page"/>
      </w:r>
    </w:p>
    <w:p w14:paraId="5E600BE6">
      <w:pPr>
        <w:pStyle w:val="5"/>
        <w:numPr>
          <w:ilvl w:val="1"/>
          <w:numId w:val="0"/>
        </w:numPr>
        <w:ind w:leftChars="0" w:firstLine="640" w:firstLineChars="200"/>
        <w:outlineLvl w:val="0"/>
        <w:rPr>
          <w:rFonts w:hint="eastAsia" w:ascii="黑体" w:hAnsi="黑体" w:eastAsia="黑体" w:cs="黑体"/>
          <w:color w:val="auto"/>
          <w:kern w:val="2"/>
          <w:sz w:val="32"/>
          <w:szCs w:val="32"/>
          <w:highlight w:val="none"/>
          <w:lang w:val="en-US" w:eastAsia="zh-CN" w:bidi="ar-SA"/>
        </w:rPr>
      </w:pPr>
      <w:bookmarkStart w:id="0" w:name="_Toc24448"/>
      <w:r>
        <w:rPr>
          <w:rFonts w:hint="eastAsia" w:ascii="黑体" w:hAnsi="黑体" w:eastAsia="黑体" w:cs="黑体"/>
          <w:color w:val="auto"/>
          <w:kern w:val="2"/>
          <w:sz w:val="32"/>
          <w:szCs w:val="32"/>
          <w:highlight w:val="none"/>
          <w:lang w:val="en-US" w:eastAsia="zh-CN" w:bidi="ar-SA"/>
        </w:rPr>
        <w:t>一、项目描述</w:t>
      </w:r>
      <w:bookmarkEnd w:id="0"/>
    </w:p>
    <w:p w14:paraId="1311DF0F">
      <w:pPr>
        <w:pStyle w:val="2"/>
        <w:ind w:firstLine="640" w:firstLineChars="20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项目组建服务团队，为广州供电局提供7*24小时承接、传递及处理12345、110、数字城管等社会渠道的诉求、业务；根据工作要求，运转各渠道转办工单；政务晓屋、视频客服、属地虚拟电厂服务热线应答；满意度分析，收集抽查分析各渠道客户对业务办理、诉求处置、客户经理服务情况等方面的评价和意见建议；配合开展用户灵活性资源改造实施及测试；客服停电业务工单信息传递；团队运营管理及后台支撑工作等服务，按要求完成考核任务。该项目经过业务量测算，需配置约24人的坐席团队承接，并按项目规范配置运营管理人员。 </w:t>
      </w:r>
    </w:p>
    <w:p w14:paraId="2AD3CEC4">
      <w:pPr>
        <w:pStyle w:val="5"/>
        <w:numPr>
          <w:ilvl w:val="1"/>
          <w:numId w:val="0"/>
        </w:numPr>
        <w:ind w:leftChars="0" w:firstLine="640" w:firstLineChars="200"/>
        <w:outlineLvl w:val="0"/>
        <w:rPr>
          <w:rFonts w:hint="default" w:ascii="黑体" w:hAnsi="黑体" w:eastAsia="黑体" w:cs="黑体"/>
          <w:color w:val="auto"/>
          <w:kern w:val="2"/>
          <w:sz w:val="32"/>
          <w:szCs w:val="32"/>
          <w:highlight w:val="none"/>
          <w:lang w:val="en-US" w:eastAsia="zh-CN" w:bidi="ar-SA"/>
        </w:rPr>
      </w:pPr>
      <w:bookmarkStart w:id="1" w:name="_Toc31100"/>
      <w:bookmarkStart w:id="2" w:name="_Toc48229607"/>
      <w:r>
        <w:rPr>
          <w:rFonts w:hint="eastAsia" w:ascii="黑体" w:hAnsi="黑体" w:eastAsia="黑体" w:cs="黑体"/>
          <w:color w:val="auto"/>
          <w:kern w:val="2"/>
          <w:sz w:val="32"/>
          <w:szCs w:val="32"/>
          <w:highlight w:val="none"/>
          <w:lang w:val="en-US" w:eastAsia="zh-CN" w:bidi="ar-SA"/>
        </w:rPr>
        <w:t>二、项目内容</w:t>
      </w:r>
      <w:bookmarkEnd w:id="1"/>
      <w:bookmarkEnd w:id="2"/>
    </w:p>
    <w:p w14:paraId="3D81043D">
      <w:pPr>
        <w:pStyle w:val="5"/>
        <w:numPr>
          <w:ilvl w:val="1"/>
          <w:numId w:val="0"/>
        </w:numPr>
        <w:ind w:leftChars="0"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一）乙方负责为广州供电局提供7*24小时承接、传递及处理12345、110、数字城管等社会渠道的诉求、业务；政务晓屋、视频客服，属地虚拟电厂服务热线应答；满意度分析，收集分析各渠道客户对业务办理、诉求处置、客户经理服务情况等方面的评价和意见建议；配合开展用户灵活性资源改造实施及测试；客服停电业务工单信息传递；根据工作要求，运转各渠道转办工单；团队运营管理及后台支撑工作等服务，按要求完成考核任务。</w:t>
      </w:r>
    </w:p>
    <w:p w14:paraId="6F54F6D7">
      <w:pPr>
        <w:spacing w:line="360" w:lineRule="auto"/>
        <w:ind w:firstLine="480"/>
        <w:contextualSpacing/>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（二）乙方负责服务人员的招聘、人事管理、绩效考核、业务培训、质量管理、团队建设及考勤等项目运营工作，制定配套项目团队管理制度，以确保服务质量，保持团队稳定。</w:t>
      </w:r>
    </w:p>
    <w:p w14:paraId="2C7E2D4A">
      <w:pPr>
        <w:spacing w:line="360" w:lineRule="auto"/>
        <w:ind w:firstLine="640" w:firstLineChars="200"/>
        <w:contextualSpacing/>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（三）乙方负责服务人员的日常业务和服务技能培训。</w:t>
      </w:r>
    </w:p>
    <w:p w14:paraId="77C0912F">
      <w:pPr>
        <w:spacing w:line="360" w:lineRule="auto"/>
        <w:ind w:firstLine="640" w:firstLineChars="200"/>
        <w:contextualSpacing/>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（四）乙方负责制定切实可行的应急处置预案，对于突发事件要在第一时间内通报给甲方指定的业务接口人，并按甲方要求，做好服务应急工作。</w:t>
      </w:r>
    </w:p>
    <w:p w14:paraId="370A72C2">
      <w:pPr>
        <w:spacing w:line="360" w:lineRule="auto"/>
        <w:ind w:firstLine="640" w:firstLineChars="200"/>
        <w:contextualSpacing/>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（五）乙方应执行日常服务质量管控及保障措施，及时通报质量情况，接受甲方对服务质量考核，并落实整改。</w:t>
      </w:r>
    </w:p>
    <w:p w14:paraId="42D2E6A6">
      <w:pPr>
        <w:spacing w:line="360" w:lineRule="auto"/>
        <w:ind w:firstLine="640" w:firstLineChars="200"/>
        <w:contextualSpacing/>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（六）乙方应按要求提供数据清单、报表、运营分析报告，并保证数据的真实有效性。</w:t>
      </w:r>
    </w:p>
    <w:p w14:paraId="541CA4BC">
      <w:pPr>
        <w:spacing w:line="360" w:lineRule="auto"/>
        <w:ind w:firstLine="640" w:firstLineChars="200"/>
        <w:contextualSpacing/>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（七）乙方应协助甲方进行专题业务运营，保证专题业务运营质量。</w:t>
      </w:r>
    </w:p>
    <w:p w14:paraId="2D62B968">
      <w:pPr>
        <w:spacing w:line="360" w:lineRule="auto"/>
        <w:ind w:firstLine="640" w:firstLineChars="200"/>
        <w:contextualSpacing/>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八）乙方应根据甲方场地、座席、平台、综合配套资源管理规定按章使用甲方提供的场地、座席、平台、综合配套资源。乙方服务团队人员应遵守甲方的各项规章制度，未经甲方许可，乙方服务团队人员不得使用甲方的场地、设施从事与本协议无关的事项。</w:t>
      </w:r>
    </w:p>
    <w:p w14:paraId="15F133D2">
      <w:pPr>
        <w:spacing w:line="360" w:lineRule="auto"/>
        <w:ind w:firstLine="640" w:firstLineChars="200"/>
        <w:contextualSpacing/>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（九）甲方因需开展临时业务、专项紧急业务需乙方配合时，乙方应予以配合。乙方应额外配备适量服务人员，以满足临时紧急工作需要。</w:t>
      </w:r>
    </w:p>
    <w:p w14:paraId="16DD9597">
      <w:pPr>
        <w:spacing w:line="360" w:lineRule="auto"/>
        <w:ind w:firstLine="640" w:firstLineChars="200"/>
        <w:contextualSpacing/>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（十）乙方应开展环境健康安全、安全生产管理工作。</w:t>
      </w:r>
    </w:p>
    <w:p w14:paraId="78F00B8E">
      <w:pPr>
        <w:spacing w:line="360" w:lineRule="auto"/>
        <w:ind w:firstLine="640" w:firstLineChars="200"/>
        <w:contextualSpacing/>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（十一）乙方应组织乙方服务团队签订保密协议，确认相关服务要求。</w:t>
      </w:r>
    </w:p>
    <w:p w14:paraId="386ECE8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highlight w:val="none"/>
          <w:lang w:val="en-US" w:eastAsia="zh-CN"/>
        </w:rPr>
      </w:pPr>
      <w:bookmarkStart w:id="3" w:name="_Toc10384"/>
      <w:r>
        <w:rPr>
          <w:rFonts w:hint="eastAsia" w:ascii="黑体" w:hAnsi="黑体" w:eastAsia="黑体" w:cs="黑体"/>
          <w:color w:val="auto"/>
          <w:sz w:val="32"/>
          <w:szCs w:val="32"/>
          <w:highlight w:val="none"/>
          <w:lang w:val="en-US" w:eastAsia="zh-CN"/>
        </w:rPr>
        <w:t>三、服务方式</w:t>
      </w:r>
      <w:bookmarkEnd w:id="3"/>
    </w:p>
    <w:p w14:paraId="7005AE1C">
      <w:pPr>
        <w:spacing w:line="360" w:lineRule="auto"/>
        <w:ind w:firstLine="640" w:firstLineChars="200"/>
        <w:contextualSpacing/>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一）甲方提供所需的场地、座席和平台资源；负责相关支撑软件开发以及平台硬件、网络和终端设备的日常维护、值守、定期检测、数据备份、故障处理，保证设备正常运转；提供后勤配套设施管理，包括门卫安全管理、公共场地清洁管理；管理、分配信息系统权限。</w:t>
      </w:r>
    </w:p>
    <w:p w14:paraId="73A224F3">
      <w:pPr>
        <w:numPr>
          <w:ilvl w:val="0"/>
          <w:numId w:val="0"/>
        </w:numPr>
        <w:spacing w:line="360" w:lineRule="auto"/>
        <w:ind w:leftChars="0" w:firstLine="640" w:firstLineChars="200"/>
        <w:contextualSpacing/>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（二）乙方根据本项目的业务范围及具体岗位需要，配置人员到甲方指定的场所从事专业的服务，完成甲方指定的工作任务。本项目管理岗与生产岗配比要求为，每15位生产岗人员，配置1名管理岗人员。</w:t>
      </w:r>
    </w:p>
    <w:p w14:paraId="5660A6CF">
      <w:pPr>
        <w:numPr>
          <w:ilvl w:val="0"/>
          <w:numId w:val="0"/>
        </w:numPr>
        <w:spacing w:line="360" w:lineRule="auto"/>
        <w:ind w:leftChars="0" w:firstLine="640" w:firstLineChars="200"/>
        <w:contextualSpacing/>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（三）乙方为甲方提供的服务人员，无论是否直接或间接接受甲方的指令或任务安排，均与甲方不存在任何直接法律关系。</w:t>
      </w:r>
    </w:p>
    <w:p w14:paraId="70D12AC5">
      <w:pPr>
        <w:numPr>
          <w:ilvl w:val="0"/>
          <w:numId w:val="0"/>
        </w:numPr>
        <w:spacing w:line="360" w:lineRule="auto"/>
        <w:ind w:leftChars="0" w:firstLine="640" w:firstLineChars="200"/>
        <w:contextualSpacing/>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（四）甲方通过双方约定的联系人发送工作任务及指令。</w:t>
      </w:r>
    </w:p>
    <w:p w14:paraId="6177677E">
      <w:pPr>
        <w:numPr>
          <w:ilvl w:val="0"/>
          <w:numId w:val="0"/>
        </w:numPr>
        <w:spacing w:line="360" w:lineRule="auto"/>
        <w:ind w:leftChars="0" w:firstLine="640" w:firstLineChars="200"/>
        <w:contextualSpacing/>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（五）乙方所配置的人员到甲方指定的场所从事专业的服务，应当配戴乙方的工作证，以与甲方的员工区别。无论在何种情况下，乙方所配置的人员均不得向其他第三方明示或暗示其属于甲方的员工。</w:t>
      </w:r>
    </w:p>
    <w:p w14:paraId="163E715F">
      <w:pPr>
        <w:numPr>
          <w:ilvl w:val="0"/>
          <w:numId w:val="0"/>
        </w:numPr>
        <w:spacing w:line="360" w:lineRule="auto"/>
        <w:ind w:leftChars="0" w:firstLine="640" w:firstLineChars="200"/>
        <w:contextualSpacing/>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（六）乙方所配置的人员代表乙方从事专业服务，如因乙方所配置的人员在工作期间因职务行为造成甲方损失，甲方可要求乙方承担赔偿责任。</w:t>
      </w:r>
    </w:p>
    <w:p w14:paraId="6F1AA543">
      <w:pPr>
        <w:numPr>
          <w:ilvl w:val="0"/>
          <w:numId w:val="0"/>
        </w:numPr>
        <w:spacing w:line="360" w:lineRule="auto"/>
        <w:ind w:leftChars="0" w:firstLine="640" w:firstLineChars="200"/>
        <w:contextualSpacing/>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（七）乙方应保证乙方服务团队人员劳动关系合法合规，不得因乙方服务团队人员离职影响甲方的工作。</w:t>
      </w:r>
    </w:p>
    <w:p w14:paraId="1578C0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highlight w:val="none"/>
          <w:lang w:val="en-US" w:eastAsia="zh-CN"/>
        </w:rPr>
      </w:pPr>
      <w:bookmarkStart w:id="4" w:name="_Toc22183"/>
      <w:r>
        <w:rPr>
          <w:rFonts w:hint="eastAsia" w:ascii="黑体" w:hAnsi="黑体" w:eastAsia="黑体" w:cs="黑体"/>
          <w:color w:val="auto"/>
          <w:sz w:val="32"/>
          <w:szCs w:val="32"/>
          <w:highlight w:val="none"/>
          <w:lang w:val="en-US" w:eastAsia="zh-CN"/>
        </w:rPr>
        <w:t>四、项目要求</w:t>
      </w:r>
      <w:bookmarkEnd w:id="4"/>
    </w:p>
    <w:p w14:paraId="1ED91735">
      <w:pPr>
        <w:numPr>
          <w:ilvl w:val="0"/>
          <w:numId w:val="0"/>
        </w:numPr>
        <w:spacing w:line="360" w:lineRule="auto"/>
        <w:ind w:firstLine="640" w:firstLineChars="200"/>
        <w:contextualSpacing/>
        <w:outlineLvl w:val="1"/>
        <w:rPr>
          <w:rFonts w:hint="eastAsia" w:ascii="楷体_GB2312" w:hAnsi="楷体_GB2312" w:eastAsia="楷体_GB2312" w:cs="楷体_GB2312"/>
          <w:b w:val="0"/>
          <w:bCs w:val="0"/>
          <w:color w:val="auto"/>
          <w:kern w:val="2"/>
          <w:sz w:val="32"/>
          <w:szCs w:val="32"/>
          <w:highlight w:val="none"/>
          <w:lang w:val="en-US" w:eastAsia="zh-CN" w:bidi="ar-SA"/>
        </w:rPr>
      </w:pPr>
      <w:bookmarkStart w:id="5" w:name="_Toc17180"/>
      <w:r>
        <w:rPr>
          <w:rFonts w:hint="eastAsia" w:ascii="楷体_GB2312" w:hAnsi="楷体_GB2312" w:eastAsia="楷体_GB2312" w:cs="楷体_GB2312"/>
          <w:b w:val="0"/>
          <w:bCs w:val="0"/>
          <w:color w:val="auto"/>
          <w:kern w:val="2"/>
          <w:sz w:val="32"/>
          <w:szCs w:val="32"/>
          <w:highlight w:val="none"/>
          <w:lang w:val="en-US" w:eastAsia="zh-CN" w:bidi="ar-SA"/>
        </w:rPr>
        <w:t>（一）团队管理要求</w:t>
      </w:r>
      <w:bookmarkEnd w:id="5"/>
    </w:p>
    <w:p w14:paraId="701F3994">
      <w:pPr>
        <w:spacing w:line="360" w:lineRule="auto"/>
        <w:ind w:firstLine="560"/>
        <w:contextualSpacing/>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为与甲方有效对接，乙方应针对外委业务，设立运营管理团队，做好生产任务的承接和管理工作，并就日常工作，与甲方及时联系、沟通。双方各指派日常联络团队，负责协调双方合作的日常事宜。双方往来信息沟通，可以书面或口头形式通知到达联系人。</w:t>
      </w:r>
    </w:p>
    <w:p w14:paraId="7050EC1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contextualSpacing/>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2.乙方服务团队成员应具有适当教育背景和技能，并经过相关业务培训。乙方应在项目合同生效之日起 30 天内，</w:t>
      </w:r>
      <w:r>
        <w:rPr>
          <w:rFonts w:hint="eastAsia" w:ascii="仿宋_GB2312" w:hAnsi="仿宋_GB2312" w:eastAsia="仿宋_GB2312" w:cs="仿宋_GB2312"/>
          <w:color w:val="auto"/>
          <w:sz w:val="32"/>
          <w:szCs w:val="32"/>
          <w:highlight w:val="none"/>
          <w:u w:val="none"/>
          <w:lang w:val="en-US" w:eastAsia="zh-CN"/>
        </w:rPr>
        <w:t>向甲方提供乙方服务团队人员的详细名单。</w:t>
      </w:r>
      <w:r>
        <w:rPr>
          <w:rFonts w:hint="eastAsia" w:ascii="仿宋_GB2312" w:hAnsi="仿宋_GB2312" w:eastAsia="仿宋_GB2312" w:cs="仿宋_GB2312"/>
          <w:color w:val="auto"/>
          <w:sz w:val="32"/>
          <w:szCs w:val="32"/>
          <w:highlight w:val="none"/>
          <w:lang w:val="en-US" w:eastAsia="zh-CN"/>
        </w:rPr>
        <w:t>除甲方同意外，在甲方场所工作的乙方服务团队人员仅可从事与甲方业务相关的工作。在甲方场所工作的乙方服务团队人员，乙方决定解雇或重新任命时，应及时通知甲方。</w:t>
      </w:r>
    </w:p>
    <w:p w14:paraId="6F4B83A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contextualSpacing/>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3.乙方应根据甲方要求，提供全天24小时不间断服务，合理排班，有序组织服务人员开展工作。</w:t>
      </w:r>
    </w:p>
    <w:p w14:paraId="4E226E43">
      <w:pPr>
        <w:pStyle w:val="2"/>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4.乙方服务团队人员因个人素质能力明显不足而不能继续担任其职位的，甲方可自行判断并向乙方发出通知，要求从乙方服务团队中撤除该服务人员。在不</w:t>
      </w:r>
      <w:r>
        <w:rPr>
          <w:rFonts w:hint="eastAsia" w:ascii="仿宋_GB2312" w:hAnsi="仿宋_GB2312" w:eastAsia="仿宋_GB2312" w:cs="仿宋_GB2312"/>
          <w:color w:val="auto"/>
          <w:sz w:val="32"/>
          <w:szCs w:val="32"/>
          <w:highlight w:val="none"/>
          <w:lang w:val="en-US" w:eastAsia="zh-CN"/>
        </w:rPr>
        <w:t>影响服务业务正常开展的前提下，乙方应尽快撤换相关人员，并确保继任工作有序进行。</w:t>
      </w:r>
    </w:p>
    <w:p w14:paraId="49D8301F">
      <w:pPr>
        <w:spacing w:line="360" w:lineRule="auto"/>
        <w:ind w:firstLine="640" w:firstLineChars="200"/>
        <w:contextualSpacing/>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kern w:val="2"/>
          <w:sz w:val="32"/>
          <w:szCs w:val="32"/>
          <w:highlight w:val="none"/>
          <w:lang w:val="en-US" w:eastAsia="zh-CN" w:bidi="ar-SA"/>
        </w:rPr>
        <w:t>乙方应保证服务团队的任何成员不得有下列行为：</w:t>
      </w:r>
    </w:p>
    <w:p w14:paraId="64881569">
      <w:pPr>
        <w:spacing w:line="360" w:lineRule="auto"/>
        <w:ind w:firstLine="640" w:firstLineChars="200"/>
        <w:contextualSpacing/>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（1）行为不符合乙方提供的行为准则。</w:t>
      </w:r>
    </w:p>
    <w:p w14:paraId="5BC02F6B">
      <w:pPr>
        <w:spacing w:line="360" w:lineRule="auto"/>
        <w:ind w:firstLine="640" w:firstLineChars="200"/>
        <w:contextualSpacing/>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（2）提供服务方式不当。</w:t>
      </w:r>
    </w:p>
    <w:p w14:paraId="3970805A">
      <w:pPr>
        <w:spacing w:line="360" w:lineRule="auto"/>
        <w:ind w:firstLine="640" w:firstLineChars="200"/>
        <w:contextualSpacing/>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（3）从事违法、犯罪、欺诈或其他可能对甲方及甲方员工或财产造成损害的行为。</w:t>
      </w:r>
    </w:p>
    <w:p w14:paraId="04E18776">
      <w:pPr>
        <w:spacing w:line="360" w:lineRule="auto"/>
        <w:ind w:firstLine="640" w:firstLineChars="200"/>
        <w:contextualSpacing/>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（4）造成对甲方不良影响或产生舆情的行为。</w:t>
      </w:r>
    </w:p>
    <w:p w14:paraId="756E0ABB">
      <w:pPr>
        <w:spacing w:line="360" w:lineRule="auto"/>
        <w:ind w:firstLine="640" w:firstLineChars="200"/>
        <w:contextualSpacing/>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若服务团队的任何成员有上述行为之一时，经甲方要求，乙方应立即：</w:t>
      </w:r>
    </w:p>
    <w:p w14:paraId="4CFBFF25">
      <w:pPr>
        <w:spacing w:line="360" w:lineRule="auto"/>
        <w:ind w:firstLine="640" w:firstLineChars="200"/>
        <w:contextualSpacing/>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（1）终止该成员进入甲方服务地点的权利（如适用）。</w:t>
      </w:r>
    </w:p>
    <w:p w14:paraId="495BE9AE">
      <w:pPr>
        <w:spacing w:line="360" w:lineRule="auto"/>
        <w:ind w:firstLine="640" w:firstLineChars="200"/>
        <w:contextualSpacing/>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（2）禁止该成员获取甲方数据、技术成果等商业秘密。</w:t>
      </w:r>
    </w:p>
    <w:p w14:paraId="059CAFFF">
      <w:pPr>
        <w:spacing w:line="360" w:lineRule="auto"/>
        <w:ind w:firstLine="640" w:firstLineChars="200"/>
        <w:contextualSpacing/>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（3）从服务团队中撤除该成员。</w:t>
      </w:r>
    </w:p>
    <w:p w14:paraId="1DE4D53F">
      <w:pPr>
        <w:numPr>
          <w:ilvl w:val="0"/>
          <w:numId w:val="0"/>
        </w:numPr>
        <w:spacing w:line="360" w:lineRule="auto"/>
        <w:ind w:firstLine="640" w:firstLineChars="200"/>
        <w:contextualSpacing/>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（4）通过合理方式消除对甲方的不利影响。</w:t>
      </w:r>
    </w:p>
    <w:p w14:paraId="04A44E89">
      <w:pPr>
        <w:numPr>
          <w:ilvl w:val="0"/>
          <w:numId w:val="0"/>
        </w:numPr>
        <w:spacing w:line="360" w:lineRule="auto"/>
        <w:ind w:firstLine="640" w:firstLineChars="200"/>
        <w:contextualSpacing/>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6.项目合同有效期内，在保证生产服务队伍稳定、服务质量合格以及不影响合同有效执行的情况下，经甲、乙双方协商确认后，乙方可进行人员绩效考核方案与薪酬水平的调整，以及管理架构与岗位设置的调整。</w:t>
      </w:r>
    </w:p>
    <w:p w14:paraId="22CDE16D">
      <w:pPr>
        <w:numPr>
          <w:ilvl w:val="0"/>
          <w:numId w:val="0"/>
        </w:numPr>
        <w:spacing w:line="360" w:lineRule="auto"/>
        <w:ind w:firstLine="640" w:firstLineChars="200"/>
        <w:contextualSpacing/>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7.乙方服务团队中，管理岗职务人员，应具有本科及以上学历，具备相关工作经验三年及以上；生产岗人员大专及以上学历人员不少于80%，最低学历为中专，具备相关工作经验者优先考虑。</w:t>
      </w:r>
    </w:p>
    <w:p w14:paraId="23912AA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contextualSpacing/>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8.乙方应依据《关于进一步加强党员组织关系管理的意见》的通知 （中组发〔2004〕10号）、《中国共产党支部工作条例》（试行）及《中国共产党党员教育管理工作条例》的相关规定，对服务团队中的党员进行教育、管理与监督。</w:t>
      </w:r>
    </w:p>
    <w:p w14:paraId="471523B5">
      <w:pPr>
        <w:pStyle w:val="2"/>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9.乙方非因自身的过错而不能提供或者不能完全提供本项目的服务时，乙方应及时书面通知甲方，并尽最大努力协助甲方从其他渠道获得相同或者类似的服务，同时做好人员的交接，协助甲方正常延续过渡服务业务。措施包括并不限于为第三方提供一定期限的在线支撑、业务指导答疑以及管理工作、业务交接等。乙方承诺不少于80%的原服务人员平稳过至新的项目组，以确保甲方服务的有序运营。如乙方不配合，约定以最近月的服务本金金额为标准扣罚一个月的服务本金作为违约金。乙方非因自身过错无法提供服务，未及时通知甲方给甲方造成损失的，应承担全部赔偿责任。</w:t>
      </w:r>
    </w:p>
    <w:p w14:paraId="0F17CEA1">
      <w:pPr>
        <w:pStyle w:val="2"/>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10.乙方在本协议有效期内及本协议终止后，均应根据甲方需求，配合甲方完成对本项目的审计工作。</w:t>
      </w:r>
    </w:p>
    <w:p w14:paraId="49508320">
      <w:pPr>
        <w:numPr>
          <w:ilvl w:val="0"/>
          <w:numId w:val="0"/>
        </w:numPr>
        <w:spacing w:line="360" w:lineRule="auto"/>
        <w:ind w:firstLine="640" w:firstLineChars="200"/>
        <w:contextualSpacing/>
        <w:outlineLvl w:val="1"/>
        <w:rPr>
          <w:rFonts w:hint="eastAsia" w:ascii="楷体_GB2312" w:hAnsi="楷体_GB2312" w:eastAsia="楷体_GB2312" w:cs="楷体_GB2312"/>
          <w:b w:val="0"/>
          <w:bCs w:val="0"/>
          <w:color w:val="auto"/>
          <w:kern w:val="2"/>
          <w:sz w:val="32"/>
          <w:szCs w:val="32"/>
          <w:highlight w:val="none"/>
          <w:lang w:val="en-US" w:eastAsia="zh-CN" w:bidi="ar-SA"/>
        </w:rPr>
      </w:pPr>
      <w:bookmarkStart w:id="6" w:name="_Toc24450"/>
      <w:r>
        <w:rPr>
          <w:rFonts w:hint="eastAsia" w:ascii="楷体_GB2312" w:hAnsi="楷体_GB2312" w:eastAsia="楷体_GB2312" w:cs="楷体_GB2312"/>
          <w:b w:val="0"/>
          <w:bCs w:val="0"/>
          <w:color w:val="auto"/>
          <w:kern w:val="2"/>
          <w:sz w:val="32"/>
          <w:szCs w:val="32"/>
          <w:highlight w:val="none"/>
          <w:lang w:val="en-US" w:eastAsia="zh-CN" w:bidi="ar-SA"/>
        </w:rPr>
        <w:t>（二）业务管理要求</w:t>
      </w:r>
      <w:bookmarkEnd w:id="6"/>
    </w:p>
    <w:p w14:paraId="548D7C93">
      <w:pPr>
        <w:spacing w:line="360" w:lineRule="auto"/>
        <w:ind w:firstLine="560"/>
        <w:contextualSpacing/>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乙方应严格按照甲方所核定的服务项目和范围提供服务，不得擅自改变该服务项目或范围。乙方应遵守甲方制定的服务及其相关业务处理流程，根据年度计划和项目目标开展业务，按时按量完成甲方要求的各项经营指标和质量考核指标。</w:t>
      </w:r>
    </w:p>
    <w:p w14:paraId="10F3197D">
      <w:pPr>
        <w:numPr>
          <w:ilvl w:val="0"/>
          <w:numId w:val="0"/>
        </w:numPr>
        <w:spacing w:line="360" w:lineRule="auto"/>
        <w:ind w:firstLine="640" w:firstLineChars="200"/>
        <w:contextualSpacing/>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乙方应严格遵守和执行甲方规定的各项业务规章制度和作业流程。根据甲方提出的服务标准、质量标准和时限要求，做好服务工作和质量检查、统计工作并承担相应责任。甲方有权对业务执行情况及服务质量进行监督，可使用现场巡检、录音质检、流程检查等方式进行监督考核，其结果作为整体服务质量的考核评判依据之一。乙方应接受甲方对上述工作的业务监督检查。</w:t>
      </w:r>
    </w:p>
    <w:p w14:paraId="7F21901D">
      <w:pPr>
        <w:numPr>
          <w:ilvl w:val="0"/>
          <w:numId w:val="0"/>
        </w:numPr>
        <w:spacing w:line="360" w:lineRule="auto"/>
        <w:ind w:firstLine="640" w:firstLineChars="200"/>
        <w:contextualSpacing/>
        <w:outlineLvl w:val="1"/>
        <w:rPr>
          <w:rFonts w:hint="eastAsia" w:ascii="楷体_GB2312" w:hAnsi="楷体_GB2312" w:eastAsia="楷体_GB2312" w:cs="楷体_GB2312"/>
          <w:b w:val="0"/>
          <w:bCs w:val="0"/>
          <w:color w:val="auto"/>
          <w:kern w:val="2"/>
          <w:sz w:val="32"/>
          <w:szCs w:val="32"/>
          <w:highlight w:val="none"/>
          <w:lang w:val="en-US" w:eastAsia="zh-CN" w:bidi="ar-SA"/>
        </w:rPr>
      </w:pPr>
      <w:bookmarkStart w:id="7" w:name="_Toc21295"/>
      <w:r>
        <w:rPr>
          <w:rFonts w:hint="eastAsia" w:ascii="楷体_GB2312" w:hAnsi="楷体_GB2312" w:eastAsia="楷体_GB2312" w:cs="楷体_GB2312"/>
          <w:b w:val="0"/>
          <w:bCs w:val="0"/>
          <w:color w:val="auto"/>
          <w:kern w:val="2"/>
          <w:sz w:val="32"/>
          <w:szCs w:val="32"/>
          <w:highlight w:val="none"/>
          <w:lang w:val="en-US" w:eastAsia="zh-CN" w:bidi="ar-SA"/>
        </w:rPr>
        <w:t>（三）结算管理要求</w:t>
      </w:r>
      <w:bookmarkEnd w:id="7"/>
    </w:p>
    <w:p w14:paraId="2B413FDC">
      <w:pPr>
        <w:spacing w:line="360" w:lineRule="auto"/>
        <w:ind w:firstLine="640" w:firstLineChars="200"/>
        <w:contextualSpacing/>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乙方每月将项目已完工数据及金额以结算数据以书面方式提供给甲方，经甲方核实，双方确认后，作为甲方支付价款的依据。结算数据自服务人员通过认证到岗，并正式开始提供服务之日起计算，管理岗人员不结算。</w:t>
      </w:r>
    </w:p>
    <w:p w14:paraId="2C6919BF">
      <w:pPr>
        <w:spacing w:line="360" w:lineRule="auto"/>
        <w:ind w:firstLine="640" w:firstLineChars="200"/>
        <w:contextualSpacing/>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2.因甲方或乙方结算进度要求，需提前结算的月份，乙方应保证该月的实际坐席数量与结算量相符或高于结算量，工作质量满足甲方要求。</w:t>
      </w:r>
    </w:p>
    <w:p w14:paraId="486ABB4B">
      <w:pPr>
        <w:spacing w:line="360" w:lineRule="auto"/>
        <w:ind w:firstLine="640" w:firstLineChars="200"/>
        <w:contextualSpacing/>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3.乙方应在甲方要求的时限内，提交服务成果支撑材料报送结算审核，经造价公司审核的金额作为结算尾款的依据，已支付款项多退少补。</w:t>
      </w:r>
    </w:p>
    <w:p w14:paraId="613A376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highlight w:val="none"/>
          <w:lang w:val="en-US" w:eastAsia="zh-CN"/>
        </w:rPr>
      </w:pPr>
      <w:bookmarkStart w:id="8" w:name="_Toc4861"/>
      <w:r>
        <w:rPr>
          <w:rFonts w:hint="eastAsia" w:ascii="黑体" w:hAnsi="黑体" w:eastAsia="黑体" w:cs="黑体"/>
          <w:color w:val="auto"/>
          <w:sz w:val="32"/>
          <w:szCs w:val="32"/>
          <w:highlight w:val="none"/>
          <w:lang w:val="en-US" w:eastAsia="zh-CN"/>
        </w:rPr>
        <w:t>五、服务评价</w:t>
      </w:r>
      <w:bookmarkEnd w:id="8"/>
    </w:p>
    <w:p w14:paraId="36D72893">
      <w:pPr>
        <w:spacing w:line="360" w:lineRule="auto"/>
        <w:ind w:firstLine="640" w:firstLineChars="200"/>
        <w:contextualSpacing/>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（一）甲方制定对乙方服务团队的考核办法，对乙方提供的服务，甲方进行月度考核，每自然月为一个考核周期。月度的考核得分不低于90分为合格，低于90分为不合格。</w:t>
      </w:r>
    </w:p>
    <w:p w14:paraId="716FE2F7">
      <w:pPr>
        <w:numPr>
          <w:ilvl w:val="0"/>
          <w:numId w:val="0"/>
        </w:numPr>
        <w:spacing w:line="360" w:lineRule="auto"/>
        <w:ind w:firstLine="640" w:firstLineChars="200"/>
        <w:contextualSpacing/>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（二）根据甲方业务发展要求，甲方可以调整附件所列考核项目及形式。甲方应在下一考核周期开始之日前 15 天，将该调整通知乙方。经甲乙双方协商确认后，在下一个考核周期开始执行。</w:t>
      </w:r>
    </w:p>
    <w:p w14:paraId="10E19E05">
      <w:pPr>
        <w:numPr>
          <w:ilvl w:val="0"/>
          <w:numId w:val="0"/>
        </w:numPr>
        <w:spacing w:line="360" w:lineRule="auto"/>
        <w:ind w:firstLine="640" w:firstLineChars="200"/>
        <w:contextualSpacing/>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（三）考核标准见附件1。</w:t>
      </w:r>
    </w:p>
    <w:p w14:paraId="759123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highlight w:val="none"/>
          <w:lang w:val="en-US" w:eastAsia="zh-CN"/>
        </w:rPr>
      </w:pPr>
      <w:bookmarkStart w:id="9" w:name="_Toc25284"/>
      <w:r>
        <w:rPr>
          <w:rFonts w:hint="eastAsia" w:ascii="黑体" w:hAnsi="黑体" w:eastAsia="黑体" w:cs="黑体"/>
          <w:color w:val="auto"/>
          <w:sz w:val="32"/>
          <w:szCs w:val="32"/>
          <w:highlight w:val="none"/>
          <w:lang w:val="en-US" w:eastAsia="zh-CN"/>
        </w:rPr>
        <w:t>六、服务报酬</w:t>
      </w:r>
      <w:bookmarkEnd w:id="9"/>
    </w:p>
    <w:p w14:paraId="3A31196D">
      <w:pPr>
        <w:numPr>
          <w:ilvl w:val="0"/>
          <w:numId w:val="0"/>
        </w:numPr>
        <w:spacing w:line="360" w:lineRule="auto"/>
        <w:ind w:firstLine="640" w:firstLineChars="200"/>
        <w:contextualSpacing/>
        <w:rPr>
          <w:rFonts w:hint="eastAsia" w:ascii="仿宋_GB2312" w:hAnsi="仿宋_GB2312" w:eastAsia="仿宋_GB2312" w:cs="仿宋_GB2312"/>
          <w:color w:val="auto"/>
          <w:sz w:val="32"/>
          <w:szCs w:val="32"/>
          <w:highlight w:val="none"/>
          <w:lang w:val="en-US" w:eastAsia="zh-CN"/>
        </w:rPr>
      </w:pPr>
      <w:bookmarkStart w:id="10" w:name="_Toc26309"/>
      <w:r>
        <w:rPr>
          <w:rFonts w:hint="eastAsia" w:ascii="仿宋_GB2312" w:hAnsi="仿宋_GB2312" w:eastAsia="仿宋_GB2312" w:cs="仿宋_GB2312"/>
          <w:color w:val="auto"/>
          <w:sz w:val="32"/>
          <w:szCs w:val="32"/>
          <w:highlight w:val="none"/>
          <w:lang w:val="en-US" w:eastAsia="zh-CN"/>
        </w:rPr>
        <w:t>（一）甲方每两个月向乙方支付价款。坐席数量与坐席人员配置比例为 1:1.5，每月结算坐席数量最多24席。价款计算公式如下：</w:t>
      </w:r>
      <w:bookmarkEnd w:id="10"/>
    </w:p>
    <w:p w14:paraId="5E9BE2DE">
      <w:pPr>
        <w:keepNext w:val="0"/>
        <w:keepLines w:val="0"/>
        <w:pageBreakBefore w:val="0"/>
        <w:widowControl w:val="0"/>
        <w:numPr>
          <w:ilvl w:val="0"/>
          <w:numId w:val="0"/>
        </w:numPr>
        <w:kinsoku/>
        <w:wordWrap/>
        <w:overflowPunct/>
        <w:topLinePunct w:val="0"/>
        <w:autoSpaceDE/>
        <w:autoSpaceDN/>
        <w:bidi w:val="0"/>
        <w:spacing w:line="360" w:lineRule="auto"/>
        <w:ind w:firstLine="640" w:firstLineChars="200"/>
        <w:contextualSpacing/>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酬金=坐席单价*坐席数量-扣罚费用-违约金</w:t>
      </w:r>
    </w:p>
    <w:p w14:paraId="10D8747A">
      <w:pPr>
        <w:keepNext w:val="0"/>
        <w:keepLines w:val="0"/>
        <w:pageBreakBefore w:val="0"/>
        <w:widowControl w:val="0"/>
        <w:numPr>
          <w:ilvl w:val="0"/>
          <w:numId w:val="0"/>
        </w:numPr>
        <w:kinsoku/>
        <w:wordWrap/>
        <w:overflowPunct/>
        <w:topLinePunct w:val="0"/>
        <w:autoSpaceDE/>
        <w:autoSpaceDN/>
        <w:bidi w:val="0"/>
        <w:spacing w:line="360" w:lineRule="auto"/>
        <w:ind w:firstLine="640" w:firstLineChars="200"/>
        <w:contextualSpacing/>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1.扣罚费用=坐席单价*坐席数量*扣罚比例</w:t>
      </w:r>
    </w:p>
    <w:p w14:paraId="170F52BD">
      <w:pPr>
        <w:keepNext w:val="0"/>
        <w:keepLines w:val="0"/>
        <w:pageBreakBefore w:val="0"/>
        <w:widowControl w:val="0"/>
        <w:numPr>
          <w:ilvl w:val="0"/>
          <w:numId w:val="0"/>
        </w:numPr>
        <w:kinsoku/>
        <w:wordWrap/>
        <w:overflowPunct/>
        <w:topLinePunct w:val="0"/>
        <w:autoSpaceDE/>
        <w:autoSpaceDN/>
        <w:bidi w:val="0"/>
        <w:spacing w:line="360" w:lineRule="auto"/>
        <w:ind w:firstLine="640" w:firstLineChars="200"/>
        <w:contextualSpacing/>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扣罚比例如下：</w:t>
      </w:r>
    </w:p>
    <w:p w14:paraId="38FF862D">
      <w:pPr>
        <w:numPr>
          <w:ilvl w:val="0"/>
          <w:numId w:val="0"/>
        </w:numPr>
        <w:spacing w:line="360" w:lineRule="auto"/>
        <w:ind w:firstLine="640" w:firstLineChars="200"/>
        <w:contextualSpacing/>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考核得分≥90分，扣罚比例为0%；</w:t>
      </w:r>
    </w:p>
    <w:p w14:paraId="0FAC6230">
      <w:pPr>
        <w:numPr>
          <w:ilvl w:val="0"/>
          <w:numId w:val="0"/>
        </w:numPr>
        <w:spacing w:line="360" w:lineRule="auto"/>
        <w:ind w:firstLine="640" w:firstLineChars="200"/>
        <w:contextualSpacing/>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85分≤考核得分＜90分，扣罚比例为0.5%；</w:t>
      </w:r>
    </w:p>
    <w:p w14:paraId="40E3D7A4">
      <w:pPr>
        <w:numPr>
          <w:ilvl w:val="0"/>
          <w:numId w:val="0"/>
        </w:numPr>
        <w:spacing w:line="360" w:lineRule="auto"/>
        <w:ind w:firstLine="640" w:firstLineChars="200"/>
        <w:contextualSpacing/>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80分≤考核得分＜85分，扣罚比例为1%；</w:t>
      </w:r>
    </w:p>
    <w:p w14:paraId="01D931F6">
      <w:pPr>
        <w:numPr>
          <w:ilvl w:val="0"/>
          <w:numId w:val="0"/>
        </w:numPr>
        <w:spacing w:line="360" w:lineRule="auto"/>
        <w:ind w:firstLine="640" w:firstLineChars="200"/>
        <w:contextualSpacing/>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75分≤考核得分＜80分，扣罚比例为2%；</w:t>
      </w:r>
    </w:p>
    <w:p w14:paraId="45D539F6">
      <w:pPr>
        <w:numPr>
          <w:ilvl w:val="0"/>
          <w:numId w:val="0"/>
        </w:numPr>
        <w:spacing w:line="360" w:lineRule="auto"/>
        <w:ind w:firstLine="640" w:firstLineChars="200"/>
        <w:contextualSpacing/>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60分≤考核得分＜75分，扣罚比例为3%；</w:t>
      </w:r>
    </w:p>
    <w:p w14:paraId="58E6E171">
      <w:pPr>
        <w:numPr>
          <w:ilvl w:val="0"/>
          <w:numId w:val="0"/>
        </w:numPr>
        <w:spacing w:line="360" w:lineRule="auto"/>
        <w:ind w:firstLine="640" w:firstLineChars="200"/>
        <w:contextualSpacing/>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考核得分＜60分，扣罚比例为5%。</w:t>
      </w:r>
    </w:p>
    <w:p w14:paraId="7FF6A176">
      <w:pPr>
        <w:numPr>
          <w:ilvl w:val="0"/>
          <w:numId w:val="0"/>
        </w:numPr>
        <w:spacing w:line="360" w:lineRule="auto"/>
        <w:ind w:firstLine="640" w:firstLineChars="200"/>
        <w:contextualSpacing/>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如实际坐席数量不足24席，但考核等级合格或以上，则按实际发生坐席计算。如实际坐席数量不足24席，且考核等级不合格，除按实际发生坐席计算外，甲方扣除乙方违约金，计算公式：违约金=坐席单价*10%*缺少坐席数。</w:t>
      </w:r>
    </w:p>
    <w:p w14:paraId="124E22B9">
      <w:pPr>
        <w:numPr>
          <w:ilvl w:val="0"/>
          <w:numId w:val="0"/>
        </w:numPr>
        <w:spacing w:line="360" w:lineRule="auto"/>
        <w:ind w:firstLine="640" w:firstLineChars="200"/>
        <w:contextualSpacing/>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3.每月坐席数量计算公式</w:t>
      </w:r>
    </w:p>
    <w:p w14:paraId="62C21E7E">
      <w:pPr>
        <w:numPr>
          <w:ilvl w:val="0"/>
          <w:numId w:val="0"/>
        </w:numPr>
        <w:spacing w:line="360" w:lineRule="auto"/>
        <w:ind w:firstLine="640" w:firstLineChars="200"/>
        <w:contextualSpacing/>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月结算坐席数=∑（每名服务人员当月出勤天数/当月工作日天数/1.5）</w:t>
      </w:r>
    </w:p>
    <w:p w14:paraId="3AC3BEC6">
      <w:pPr>
        <w:pStyle w:val="2"/>
        <w:ind w:firstLine="640" w:firstLineChars="200"/>
        <w:rPr>
          <w:rFonts w:hint="eastAsia"/>
          <w:color w:val="auto"/>
          <w:highlight w:val="none"/>
          <w:lang w:val="en-US" w:eastAsia="zh-CN"/>
        </w:rPr>
      </w:pPr>
      <w:r>
        <w:rPr>
          <w:rFonts w:hint="eastAsia" w:ascii="仿宋_GB2312" w:hAnsi="仿宋_GB2312" w:eastAsia="仿宋_GB2312" w:cs="仿宋_GB2312"/>
          <w:color w:val="auto"/>
          <w:sz w:val="32"/>
          <w:szCs w:val="32"/>
          <w:highlight w:val="none"/>
          <w:lang w:val="en-US" w:eastAsia="zh-CN"/>
        </w:rPr>
        <w:t>月结算坐席数保留两位小数。</w:t>
      </w:r>
    </w:p>
    <w:p w14:paraId="19BE8BE8">
      <w:pPr>
        <w:pStyle w:val="2"/>
        <w:numPr>
          <w:ilvl w:val="0"/>
          <w:numId w:val="0"/>
        </w:numPr>
        <w:spacing w:line="360" w:lineRule="auto"/>
        <w:ind w:firstLine="640" w:firstLineChars="20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（二）项目执行期间，对当期结算未及时发现的扣罚事项或坐席数量结算有误的，甲方有权在下期结算或尾款结算中进行调整扣罚。</w:t>
      </w:r>
    </w:p>
    <w:p w14:paraId="6C5812F3">
      <w:pPr>
        <w:rPr>
          <w:rFonts w:hint="eastAsia"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br w:type="page"/>
      </w:r>
    </w:p>
    <w:p w14:paraId="792BE377">
      <w:pPr>
        <w:numPr>
          <w:ilvl w:val="0"/>
          <w:numId w:val="0"/>
        </w:numPr>
        <w:spacing w:line="360" w:lineRule="auto"/>
        <w:contextualSpacing/>
        <w:outlineLvl w:val="0"/>
        <w:rPr>
          <w:rFonts w:hint="eastAsia" w:ascii="宋体" w:hAnsi="宋体" w:eastAsia="宋体" w:cs="Times New Roman"/>
          <w:color w:val="auto"/>
          <w:sz w:val="24"/>
          <w:szCs w:val="24"/>
          <w:highlight w:val="none"/>
          <w:lang w:val="en-US" w:eastAsia="zh-CN"/>
        </w:rPr>
      </w:pPr>
      <w:bookmarkStart w:id="11" w:name="_Toc24050"/>
      <w:r>
        <w:rPr>
          <w:rFonts w:hint="eastAsia" w:ascii="宋体" w:hAnsi="宋体" w:eastAsia="宋体" w:cs="Times New Roman"/>
          <w:color w:val="auto"/>
          <w:sz w:val="24"/>
          <w:szCs w:val="24"/>
          <w:highlight w:val="none"/>
          <w:lang w:val="en-US" w:eastAsia="zh-CN"/>
        </w:rPr>
        <w:t>附件1：</w:t>
      </w:r>
      <w:bookmarkEnd w:id="11"/>
    </w:p>
    <w:p w14:paraId="561D1069">
      <w:pPr>
        <w:spacing w:line="360" w:lineRule="auto"/>
        <w:jc w:val="center"/>
        <w:outlineLvl w:val="0"/>
        <w:rPr>
          <w:rFonts w:hint="eastAsia" w:ascii="宋体" w:hAnsi="宋体"/>
          <w:b/>
          <w:bCs/>
          <w:color w:val="auto"/>
          <w:sz w:val="28"/>
          <w:szCs w:val="28"/>
          <w:highlight w:val="none"/>
        </w:rPr>
      </w:pPr>
      <w:bookmarkStart w:id="12" w:name="_Toc5966"/>
      <w:r>
        <w:rPr>
          <w:rFonts w:hint="eastAsia" w:ascii="宋体" w:hAnsi="宋体"/>
          <w:b/>
          <w:bCs/>
          <w:color w:val="auto"/>
          <w:sz w:val="28"/>
          <w:szCs w:val="28"/>
          <w:highlight w:val="none"/>
        </w:rPr>
        <w:t>考核办法</w:t>
      </w:r>
      <w:bookmarkEnd w:id="12"/>
    </w:p>
    <w:p w14:paraId="3A315AD0">
      <w:pPr>
        <w:spacing w:line="360" w:lineRule="auto"/>
        <w:jc w:val="center"/>
        <w:rPr>
          <w:rFonts w:hint="eastAsia" w:ascii="宋体" w:hAnsi="宋体"/>
          <w:color w:val="auto"/>
          <w:szCs w:val="21"/>
          <w:highlight w:val="none"/>
        </w:rPr>
      </w:pPr>
    </w:p>
    <w:p w14:paraId="4B1F2116">
      <w:pPr>
        <w:numPr>
          <w:ilvl w:val="0"/>
          <w:numId w:val="0"/>
        </w:numPr>
        <w:spacing w:line="360" w:lineRule="auto"/>
        <w:ind w:leftChars="0" w:firstLine="482" w:firstLineChars="200"/>
        <w:contextualSpacing/>
        <w:outlineLvl w:val="0"/>
        <w:rPr>
          <w:rFonts w:hint="eastAsia" w:ascii="宋体" w:hAnsi="宋体" w:eastAsia="宋体" w:cs="Times New Roman"/>
          <w:b/>
          <w:bCs/>
          <w:color w:val="auto"/>
          <w:sz w:val="24"/>
          <w:szCs w:val="24"/>
          <w:highlight w:val="none"/>
          <w:lang w:val="en-US" w:eastAsia="zh-CN"/>
        </w:rPr>
      </w:pPr>
      <w:bookmarkStart w:id="13" w:name="_Toc31543_WPSOffice_Level1"/>
      <w:bookmarkStart w:id="14" w:name="_Toc3972_WPSOffice_Level1"/>
      <w:bookmarkStart w:id="15" w:name="_Toc22562_WPSOffice_Level1"/>
      <w:bookmarkStart w:id="16" w:name="_Toc10080_WPSOffice_Level1"/>
      <w:bookmarkStart w:id="17" w:name="_Toc13859"/>
      <w:bookmarkStart w:id="18" w:name="_Toc21828"/>
      <w:bookmarkStart w:id="19" w:name="_Toc11226"/>
      <w:r>
        <w:rPr>
          <w:rFonts w:hint="eastAsia" w:ascii="宋体" w:hAnsi="宋体" w:eastAsia="宋体" w:cs="Times New Roman"/>
          <w:b/>
          <w:bCs/>
          <w:color w:val="auto"/>
          <w:sz w:val="24"/>
          <w:szCs w:val="24"/>
          <w:highlight w:val="none"/>
          <w:lang w:val="en-US" w:eastAsia="zh-CN"/>
        </w:rPr>
        <w:t>一、</w:t>
      </w:r>
      <w:bookmarkEnd w:id="13"/>
      <w:bookmarkEnd w:id="14"/>
      <w:bookmarkEnd w:id="15"/>
      <w:bookmarkStart w:id="20" w:name="_Toc17323_WPSOffice_Level2"/>
      <w:bookmarkStart w:id="21" w:name="_Toc6719_WPSOffice_Level2"/>
      <w:bookmarkStart w:id="22" w:name="_Toc13541_WPSOffice_Level2"/>
      <w:r>
        <w:rPr>
          <w:rFonts w:hint="eastAsia" w:ascii="宋体" w:hAnsi="宋体" w:eastAsia="宋体" w:cs="Times New Roman"/>
          <w:b/>
          <w:bCs/>
          <w:color w:val="auto"/>
          <w:sz w:val="24"/>
          <w:szCs w:val="24"/>
          <w:highlight w:val="none"/>
          <w:lang w:val="en-US" w:eastAsia="zh-CN"/>
        </w:rPr>
        <w:t>考核项及评分标准</w:t>
      </w:r>
      <w:bookmarkEnd w:id="16"/>
      <w:bookmarkEnd w:id="17"/>
      <w:bookmarkEnd w:id="18"/>
      <w:bookmarkEnd w:id="19"/>
      <w:bookmarkEnd w:id="20"/>
      <w:bookmarkEnd w:id="21"/>
      <w:bookmarkEnd w:id="22"/>
    </w:p>
    <w:tbl>
      <w:tblPr>
        <w:tblStyle w:val="15"/>
        <w:tblW w:w="9051" w:type="dxa"/>
        <w:tblInd w:w="0" w:type="dxa"/>
        <w:tblLayout w:type="fixed"/>
        <w:tblCellMar>
          <w:top w:w="0" w:type="dxa"/>
          <w:left w:w="108" w:type="dxa"/>
          <w:bottom w:w="0" w:type="dxa"/>
          <w:right w:w="108" w:type="dxa"/>
        </w:tblCellMar>
      </w:tblPr>
      <w:tblGrid>
        <w:gridCol w:w="774"/>
        <w:gridCol w:w="1132"/>
        <w:gridCol w:w="735"/>
        <w:gridCol w:w="1294"/>
        <w:gridCol w:w="2119"/>
        <w:gridCol w:w="2997"/>
      </w:tblGrid>
      <w:tr w14:paraId="5C2084A8">
        <w:tblPrEx>
          <w:tblCellMar>
            <w:top w:w="0" w:type="dxa"/>
            <w:left w:w="108" w:type="dxa"/>
            <w:bottom w:w="0" w:type="dxa"/>
            <w:right w:w="108" w:type="dxa"/>
          </w:tblCellMar>
        </w:tblPrEx>
        <w:trPr>
          <w:trHeight w:val="285" w:hRule="atLeast"/>
        </w:trPr>
        <w:tc>
          <w:tcPr>
            <w:tcW w:w="774" w:type="dxa"/>
            <w:tcBorders>
              <w:top w:val="single" w:color="000000" w:sz="4" w:space="0"/>
              <w:left w:val="single" w:color="000000" w:sz="4" w:space="0"/>
              <w:bottom w:val="single" w:color="000000" w:sz="4" w:space="0"/>
              <w:right w:val="single" w:color="000000" w:sz="4" w:space="0"/>
            </w:tcBorders>
            <w:vAlign w:val="center"/>
          </w:tcPr>
          <w:p w14:paraId="42FA4F11">
            <w:pPr>
              <w:autoSpaceDN w:val="0"/>
              <w:jc w:val="center"/>
              <w:textAlignment w:val="center"/>
              <w:rPr>
                <w:rFonts w:ascii="宋体" w:hAnsi="宋体"/>
                <w:b/>
                <w:color w:val="auto"/>
                <w:sz w:val="20"/>
                <w:highlight w:val="none"/>
              </w:rPr>
            </w:pPr>
            <w:r>
              <w:rPr>
                <w:rFonts w:ascii="宋体" w:hAnsi="宋体"/>
                <w:b/>
                <w:color w:val="auto"/>
                <w:sz w:val="20"/>
                <w:highlight w:val="none"/>
              </w:rPr>
              <w:t>一级指标</w:t>
            </w:r>
          </w:p>
        </w:tc>
        <w:tc>
          <w:tcPr>
            <w:tcW w:w="1132" w:type="dxa"/>
            <w:tcBorders>
              <w:top w:val="single" w:color="000000" w:sz="4" w:space="0"/>
              <w:bottom w:val="single" w:color="000000" w:sz="4" w:space="0"/>
              <w:right w:val="single" w:color="000000" w:sz="4" w:space="0"/>
            </w:tcBorders>
            <w:vAlign w:val="center"/>
          </w:tcPr>
          <w:p w14:paraId="3253C897">
            <w:pPr>
              <w:autoSpaceDN w:val="0"/>
              <w:jc w:val="center"/>
              <w:textAlignment w:val="center"/>
              <w:rPr>
                <w:rFonts w:ascii="宋体" w:hAnsi="宋体"/>
                <w:b/>
                <w:color w:val="auto"/>
                <w:sz w:val="20"/>
                <w:highlight w:val="none"/>
              </w:rPr>
            </w:pPr>
            <w:r>
              <w:rPr>
                <w:rFonts w:ascii="宋体" w:hAnsi="宋体"/>
                <w:b/>
                <w:color w:val="auto"/>
                <w:sz w:val="20"/>
                <w:highlight w:val="none"/>
              </w:rPr>
              <w:t>二级指标</w:t>
            </w:r>
          </w:p>
        </w:tc>
        <w:tc>
          <w:tcPr>
            <w:tcW w:w="735" w:type="dxa"/>
            <w:tcBorders>
              <w:top w:val="single" w:color="000000" w:sz="4" w:space="0"/>
              <w:bottom w:val="single" w:color="000000" w:sz="4" w:space="0"/>
              <w:right w:val="single" w:color="000000" w:sz="4" w:space="0"/>
            </w:tcBorders>
            <w:vAlign w:val="center"/>
          </w:tcPr>
          <w:p w14:paraId="57310410">
            <w:pPr>
              <w:autoSpaceDN w:val="0"/>
              <w:jc w:val="center"/>
              <w:textAlignment w:val="center"/>
              <w:rPr>
                <w:rFonts w:ascii="宋体" w:hAnsi="宋体"/>
                <w:b/>
                <w:color w:val="auto"/>
                <w:sz w:val="20"/>
                <w:highlight w:val="none"/>
              </w:rPr>
            </w:pPr>
            <w:r>
              <w:rPr>
                <w:rFonts w:ascii="宋体" w:hAnsi="宋体"/>
                <w:b/>
                <w:color w:val="auto"/>
                <w:sz w:val="20"/>
                <w:highlight w:val="none"/>
              </w:rPr>
              <w:t>分值</w:t>
            </w:r>
          </w:p>
        </w:tc>
        <w:tc>
          <w:tcPr>
            <w:tcW w:w="1294" w:type="dxa"/>
            <w:tcBorders>
              <w:top w:val="single" w:color="000000" w:sz="4" w:space="0"/>
              <w:bottom w:val="single" w:color="000000" w:sz="4" w:space="0"/>
              <w:right w:val="single" w:color="000000" w:sz="4" w:space="0"/>
            </w:tcBorders>
            <w:vAlign w:val="center"/>
          </w:tcPr>
          <w:p w14:paraId="002464FD">
            <w:pPr>
              <w:autoSpaceDN w:val="0"/>
              <w:jc w:val="center"/>
              <w:textAlignment w:val="center"/>
              <w:rPr>
                <w:rFonts w:ascii="宋体" w:hAnsi="宋体"/>
                <w:b/>
                <w:color w:val="auto"/>
                <w:sz w:val="20"/>
                <w:highlight w:val="none"/>
              </w:rPr>
            </w:pPr>
            <w:r>
              <w:rPr>
                <w:rFonts w:ascii="宋体" w:hAnsi="宋体"/>
                <w:b/>
                <w:color w:val="auto"/>
                <w:sz w:val="20"/>
                <w:highlight w:val="none"/>
              </w:rPr>
              <w:t>标准值</w:t>
            </w:r>
          </w:p>
        </w:tc>
        <w:tc>
          <w:tcPr>
            <w:tcW w:w="2119" w:type="dxa"/>
            <w:tcBorders>
              <w:top w:val="single" w:color="000000" w:sz="4" w:space="0"/>
              <w:bottom w:val="single" w:color="000000" w:sz="4" w:space="0"/>
              <w:right w:val="single" w:color="000000" w:sz="4" w:space="0"/>
            </w:tcBorders>
            <w:vAlign w:val="center"/>
          </w:tcPr>
          <w:p w14:paraId="24555285">
            <w:pPr>
              <w:autoSpaceDN w:val="0"/>
              <w:jc w:val="center"/>
              <w:textAlignment w:val="center"/>
              <w:rPr>
                <w:rFonts w:ascii="宋体" w:hAnsi="宋体"/>
                <w:b/>
                <w:color w:val="auto"/>
                <w:sz w:val="20"/>
                <w:highlight w:val="none"/>
              </w:rPr>
            </w:pPr>
            <w:r>
              <w:rPr>
                <w:rFonts w:ascii="宋体" w:hAnsi="宋体"/>
                <w:b/>
                <w:color w:val="auto"/>
                <w:sz w:val="20"/>
                <w:highlight w:val="none"/>
              </w:rPr>
              <w:t>指标定义</w:t>
            </w:r>
          </w:p>
        </w:tc>
        <w:tc>
          <w:tcPr>
            <w:tcW w:w="2997" w:type="dxa"/>
            <w:tcBorders>
              <w:top w:val="single" w:color="000000" w:sz="4" w:space="0"/>
              <w:bottom w:val="single" w:color="000000" w:sz="4" w:space="0"/>
              <w:right w:val="single" w:color="000000" w:sz="4" w:space="0"/>
            </w:tcBorders>
            <w:vAlign w:val="center"/>
          </w:tcPr>
          <w:p w14:paraId="0050F88A">
            <w:pPr>
              <w:autoSpaceDN w:val="0"/>
              <w:jc w:val="center"/>
              <w:textAlignment w:val="center"/>
              <w:rPr>
                <w:rFonts w:ascii="宋体" w:hAnsi="宋体"/>
                <w:b/>
                <w:color w:val="auto"/>
                <w:sz w:val="20"/>
                <w:highlight w:val="none"/>
              </w:rPr>
            </w:pPr>
            <w:r>
              <w:rPr>
                <w:rFonts w:ascii="宋体" w:hAnsi="宋体"/>
                <w:b/>
                <w:color w:val="auto"/>
                <w:sz w:val="20"/>
                <w:highlight w:val="none"/>
              </w:rPr>
              <w:t>评分标准</w:t>
            </w:r>
          </w:p>
        </w:tc>
      </w:tr>
      <w:tr w14:paraId="5D9ECA90">
        <w:tblPrEx>
          <w:tblCellMar>
            <w:top w:w="0" w:type="dxa"/>
            <w:left w:w="108" w:type="dxa"/>
            <w:bottom w:w="0" w:type="dxa"/>
            <w:right w:w="108" w:type="dxa"/>
          </w:tblCellMar>
        </w:tblPrEx>
        <w:trPr>
          <w:trHeight w:val="960" w:hRule="atLeast"/>
        </w:trPr>
        <w:tc>
          <w:tcPr>
            <w:tcW w:w="774" w:type="dxa"/>
            <w:vMerge w:val="restart"/>
            <w:tcBorders>
              <w:left w:val="single" w:color="000000" w:sz="4" w:space="0"/>
              <w:right w:val="single" w:color="000000" w:sz="4" w:space="0"/>
            </w:tcBorders>
            <w:vAlign w:val="center"/>
          </w:tcPr>
          <w:p w14:paraId="03EDFE37">
            <w:pPr>
              <w:rPr>
                <w:rFonts w:hint="eastAsia" w:eastAsiaTheme="minorEastAsia"/>
                <w:color w:val="auto"/>
                <w:highlight w:val="none"/>
                <w:lang w:eastAsia="zh-CN"/>
              </w:rPr>
            </w:pPr>
            <w:r>
              <w:rPr>
                <w:rFonts w:hint="eastAsia" w:ascii="宋体" w:hAnsi="宋体"/>
                <w:b/>
                <w:color w:val="auto"/>
                <w:sz w:val="20"/>
                <w:highlight w:val="none"/>
                <w:lang w:eastAsia="zh-CN"/>
              </w:rPr>
              <w:t>效率指标（</w:t>
            </w:r>
            <w:r>
              <w:rPr>
                <w:rFonts w:hint="eastAsia" w:ascii="宋体" w:hAnsi="宋体"/>
                <w:b/>
                <w:color w:val="auto"/>
                <w:sz w:val="20"/>
                <w:highlight w:val="none"/>
                <w:lang w:val="en-US" w:eastAsia="zh-CN"/>
              </w:rPr>
              <w:t>50%</w:t>
            </w:r>
            <w:r>
              <w:rPr>
                <w:rFonts w:hint="eastAsia" w:ascii="宋体" w:hAnsi="宋体"/>
                <w:b/>
                <w:color w:val="auto"/>
                <w:sz w:val="20"/>
                <w:highlight w:val="none"/>
                <w:lang w:eastAsia="zh-CN"/>
              </w:rPr>
              <w:t>）</w:t>
            </w:r>
          </w:p>
        </w:tc>
        <w:tc>
          <w:tcPr>
            <w:tcW w:w="1132" w:type="dxa"/>
            <w:tcBorders>
              <w:bottom w:val="single" w:color="000000" w:sz="4" w:space="0"/>
            </w:tcBorders>
            <w:vAlign w:val="center"/>
          </w:tcPr>
          <w:p w14:paraId="404D754D">
            <w:pPr>
              <w:autoSpaceDN w:val="0"/>
              <w:jc w:val="left"/>
              <w:textAlignment w:val="center"/>
              <w:rPr>
                <w:rFonts w:hint="default" w:ascii="宋体" w:hAnsi="宋体" w:eastAsiaTheme="minorEastAsia"/>
                <w:b/>
                <w:color w:val="auto"/>
                <w:sz w:val="20"/>
                <w:highlight w:val="none"/>
                <w:lang w:val="en-US" w:eastAsia="zh-CN"/>
              </w:rPr>
            </w:pPr>
            <w:r>
              <w:rPr>
                <w:rFonts w:hint="eastAsia" w:ascii="宋体" w:hAnsi="宋体"/>
                <w:b/>
                <w:color w:val="auto"/>
                <w:sz w:val="20"/>
                <w:highlight w:val="none"/>
                <w:lang w:val="en-US" w:eastAsia="zh-CN"/>
              </w:rPr>
              <w:t>95598工单</w:t>
            </w:r>
            <w:r>
              <w:rPr>
                <w:rFonts w:hint="eastAsia" w:ascii="宋体" w:hAnsi="宋体"/>
                <w:b/>
                <w:color w:val="auto"/>
                <w:sz w:val="20"/>
                <w:highlight w:val="none"/>
                <w:lang w:eastAsia="zh-CN"/>
              </w:rPr>
              <w:t>转派及时率</w:t>
            </w:r>
          </w:p>
        </w:tc>
        <w:tc>
          <w:tcPr>
            <w:tcW w:w="735" w:type="dxa"/>
            <w:tcBorders>
              <w:left w:val="single" w:color="000000" w:sz="4" w:space="0"/>
              <w:bottom w:val="single" w:color="000000" w:sz="4" w:space="0"/>
              <w:right w:val="single" w:color="000000" w:sz="4" w:space="0"/>
            </w:tcBorders>
            <w:vAlign w:val="center"/>
          </w:tcPr>
          <w:p w14:paraId="69B46222">
            <w:pPr>
              <w:autoSpaceDN w:val="0"/>
              <w:jc w:val="center"/>
              <w:textAlignment w:val="center"/>
              <w:rPr>
                <w:rFonts w:hint="default" w:ascii="宋体" w:hAnsi="宋体" w:eastAsiaTheme="minorEastAsia"/>
                <w:color w:val="auto"/>
                <w:sz w:val="20"/>
                <w:highlight w:val="none"/>
                <w:lang w:val="en-US" w:eastAsia="zh-CN"/>
              </w:rPr>
            </w:pPr>
            <w:r>
              <w:rPr>
                <w:rFonts w:hint="eastAsia" w:ascii="宋体" w:hAnsi="宋体"/>
                <w:color w:val="auto"/>
                <w:sz w:val="20"/>
                <w:highlight w:val="none"/>
                <w:lang w:val="en-US" w:eastAsia="zh-CN"/>
              </w:rPr>
              <w:t>15</w:t>
            </w:r>
          </w:p>
        </w:tc>
        <w:tc>
          <w:tcPr>
            <w:tcW w:w="1294" w:type="dxa"/>
            <w:tcBorders>
              <w:bottom w:val="single" w:color="000000" w:sz="4" w:space="0"/>
              <w:right w:val="single" w:color="000000" w:sz="4" w:space="0"/>
            </w:tcBorders>
            <w:vAlign w:val="center"/>
          </w:tcPr>
          <w:p w14:paraId="32514818">
            <w:pPr>
              <w:autoSpaceDN w:val="0"/>
              <w:jc w:val="center"/>
              <w:textAlignment w:val="center"/>
              <w:rPr>
                <w:rFonts w:hint="eastAsia" w:ascii="宋体" w:hAnsi="宋体"/>
                <w:color w:val="auto"/>
                <w:sz w:val="20"/>
                <w:highlight w:val="none"/>
              </w:rPr>
            </w:pPr>
            <w:r>
              <w:rPr>
                <w:rFonts w:ascii="宋体" w:hAnsi="宋体"/>
                <w:color w:val="auto"/>
                <w:sz w:val="20"/>
                <w:highlight w:val="none"/>
              </w:rPr>
              <w:t>≥9</w:t>
            </w:r>
            <w:r>
              <w:rPr>
                <w:rFonts w:hint="eastAsia" w:ascii="宋体" w:hAnsi="宋体"/>
                <w:color w:val="auto"/>
                <w:sz w:val="20"/>
                <w:highlight w:val="none"/>
                <w:lang w:val="en-US" w:eastAsia="zh-CN"/>
              </w:rPr>
              <w:t>8</w:t>
            </w:r>
            <w:r>
              <w:rPr>
                <w:rFonts w:ascii="宋体" w:hAnsi="宋体"/>
                <w:color w:val="auto"/>
                <w:sz w:val="20"/>
                <w:highlight w:val="none"/>
              </w:rPr>
              <w:t>%</w:t>
            </w:r>
          </w:p>
        </w:tc>
        <w:tc>
          <w:tcPr>
            <w:tcW w:w="2119" w:type="dxa"/>
            <w:tcBorders>
              <w:bottom w:val="single" w:color="000000" w:sz="4" w:space="0"/>
              <w:right w:val="single" w:color="000000" w:sz="4" w:space="0"/>
            </w:tcBorders>
            <w:vAlign w:val="center"/>
          </w:tcPr>
          <w:p w14:paraId="61857BAD">
            <w:pPr>
              <w:autoSpaceDN w:val="0"/>
              <w:jc w:val="left"/>
              <w:textAlignment w:val="center"/>
              <w:rPr>
                <w:rFonts w:ascii="宋体" w:hAnsi="宋体"/>
                <w:color w:val="auto"/>
                <w:sz w:val="20"/>
                <w:highlight w:val="none"/>
              </w:rPr>
            </w:pPr>
            <w:r>
              <w:rPr>
                <w:rFonts w:hint="eastAsia" w:ascii="宋体" w:hAnsi="宋体"/>
                <w:color w:val="auto"/>
                <w:sz w:val="20"/>
                <w:highlight w:val="none"/>
                <w:lang w:eastAsia="zh-CN"/>
              </w:rPr>
              <w:t>按</w:t>
            </w:r>
            <w:r>
              <w:rPr>
                <w:rFonts w:ascii="宋体" w:hAnsi="宋体"/>
                <w:color w:val="auto"/>
                <w:sz w:val="20"/>
                <w:highlight w:val="none"/>
              </w:rPr>
              <w:t>时</w:t>
            </w:r>
            <w:r>
              <w:rPr>
                <w:rFonts w:hint="eastAsia" w:ascii="宋体" w:hAnsi="宋体"/>
                <w:color w:val="auto"/>
                <w:sz w:val="20"/>
                <w:highlight w:val="none"/>
                <w:lang w:eastAsia="zh-CN"/>
              </w:rPr>
              <w:t>转派工单量</w:t>
            </w:r>
            <w:r>
              <w:rPr>
                <w:rFonts w:ascii="宋体" w:hAnsi="宋体"/>
                <w:color w:val="auto"/>
                <w:sz w:val="20"/>
                <w:highlight w:val="none"/>
              </w:rPr>
              <w:t>/该类</w:t>
            </w:r>
            <w:r>
              <w:rPr>
                <w:rFonts w:hint="eastAsia" w:ascii="宋体" w:hAnsi="宋体"/>
                <w:color w:val="auto"/>
                <w:sz w:val="20"/>
                <w:highlight w:val="none"/>
                <w:lang w:eastAsia="zh-CN"/>
              </w:rPr>
              <w:t>应转派</w:t>
            </w:r>
            <w:r>
              <w:rPr>
                <w:rFonts w:ascii="宋体" w:hAnsi="宋体"/>
                <w:color w:val="auto"/>
                <w:sz w:val="20"/>
                <w:highlight w:val="none"/>
              </w:rPr>
              <w:t>工单</w:t>
            </w:r>
            <w:r>
              <w:rPr>
                <w:rFonts w:hint="eastAsia" w:ascii="宋体" w:hAnsi="宋体"/>
                <w:color w:val="auto"/>
                <w:sz w:val="20"/>
                <w:highlight w:val="none"/>
                <w:lang w:eastAsia="zh-CN"/>
              </w:rPr>
              <w:t>总量</w:t>
            </w:r>
            <w:r>
              <w:rPr>
                <w:rFonts w:ascii="宋体" w:hAnsi="宋体"/>
                <w:color w:val="auto"/>
                <w:sz w:val="20"/>
                <w:highlight w:val="none"/>
              </w:rPr>
              <w:t>*100%</w:t>
            </w:r>
          </w:p>
        </w:tc>
        <w:tc>
          <w:tcPr>
            <w:tcW w:w="2997" w:type="dxa"/>
            <w:tcBorders>
              <w:bottom w:val="single" w:color="000000" w:sz="4" w:space="0"/>
              <w:right w:val="single" w:color="000000" w:sz="4" w:space="0"/>
            </w:tcBorders>
            <w:vAlign w:val="center"/>
          </w:tcPr>
          <w:p w14:paraId="617D155C">
            <w:pPr>
              <w:autoSpaceDN w:val="0"/>
              <w:jc w:val="left"/>
              <w:textAlignment w:val="center"/>
              <w:rPr>
                <w:rFonts w:hint="eastAsia" w:ascii="宋体" w:hAnsi="宋体"/>
                <w:color w:val="auto"/>
                <w:sz w:val="20"/>
                <w:highlight w:val="none"/>
                <w:lang w:val="en-US" w:eastAsia="zh-CN"/>
              </w:rPr>
            </w:pPr>
            <w:r>
              <w:rPr>
                <w:rFonts w:hint="eastAsia" w:ascii="宋体" w:hAnsi="宋体"/>
                <w:color w:val="auto"/>
                <w:sz w:val="20"/>
                <w:highlight w:val="none"/>
                <w:lang w:val="en-US" w:eastAsia="zh-CN"/>
              </w:rPr>
              <w:t>完成目标值</w:t>
            </w:r>
            <w:r>
              <w:rPr>
                <w:rFonts w:hint="default" w:ascii="宋体" w:hAnsi="宋体"/>
                <w:color w:val="auto"/>
                <w:sz w:val="20"/>
                <w:highlight w:val="none"/>
                <w:lang w:eastAsia="zh-CN"/>
              </w:rPr>
              <w:t>得</w:t>
            </w:r>
            <w:r>
              <w:rPr>
                <w:rFonts w:hint="eastAsia" w:ascii="宋体" w:hAnsi="宋体"/>
                <w:color w:val="auto"/>
                <w:sz w:val="20"/>
                <w:highlight w:val="none"/>
                <w:lang w:val="en-US" w:eastAsia="zh-CN"/>
              </w:rPr>
              <w:t>满分。低于目标值n个百分点，扣1*n分。</w:t>
            </w:r>
          </w:p>
          <w:p w14:paraId="2328990C">
            <w:pPr>
              <w:autoSpaceDN w:val="0"/>
              <w:jc w:val="left"/>
              <w:textAlignment w:val="center"/>
              <w:rPr>
                <w:rFonts w:hint="default" w:ascii="宋体" w:hAnsi="宋体"/>
                <w:color w:val="auto"/>
                <w:sz w:val="20"/>
                <w:highlight w:val="none"/>
                <w:lang w:eastAsia="zh-CN"/>
              </w:rPr>
            </w:pPr>
            <w:r>
              <w:rPr>
                <w:rFonts w:hint="eastAsia" w:ascii="宋体" w:hAnsi="宋体"/>
                <w:b/>
                <w:bCs/>
                <w:color w:val="auto"/>
                <w:sz w:val="20"/>
                <w:highlight w:val="none"/>
                <w:lang w:val="en-US" w:eastAsia="zh-CN"/>
              </w:rPr>
              <w:t>工作要求</w:t>
            </w:r>
            <w:r>
              <w:rPr>
                <w:rFonts w:hint="default" w:ascii="宋体" w:hAnsi="宋体"/>
                <w:color w:val="auto"/>
                <w:sz w:val="20"/>
                <w:highlight w:val="none"/>
                <w:lang w:eastAsia="zh-CN"/>
              </w:rPr>
              <w:t>：</w:t>
            </w:r>
          </w:p>
          <w:p w14:paraId="42EE4AE9">
            <w:pPr>
              <w:autoSpaceDN w:val="0"/>
              <w:jc w:val="left"/>
              <w:textAlignment w:val="center"/>
              <w:rPr>
                <w:rFonts w:hint="default" w:ascii="宋体" w:hAnsi="宋体"/>
                <w:color w:val="auto"/>
                <w:sz w:val="20"/>
                <w:highlight w:val="none"/>
                <w:lang w:eastAsia="zh-CN"/>
              </w:rPr>
            </w:pPr>
            <w:r>
              <w:rPr>
                <w:rFonts w:hint="eastAsia" w:ascii="宋体" w:hAnsi="宋体"/>
                <w:color w:val="auto"/>
                <w:sz w:val="20"/>
                <w:highlight w:val="none"/>
                <w:lang w:val="en-US" w:eastAsia="zh-CN"/>
              </w:rPr>
              <w:t>1.</w:t>
            </w:r>
            <w:r>
              <w:rPr>
                <w:rFonts w:hint="default" w:ascii="宋体" w:hAnsi="宋体"/>
                <w:color w:val="auto"/>
                <w:sz w:val="20"/>
                <w:highlight w:val="none"/>
                <w:lang w:eastAsia="zh-CN"/>
              </w:rPr>
              <w:t>95598</w:t>
            </w:r>
            <w:r>
              <w:rPr>
                <w:rFonts w:hint="eastAsia" w:ascii="宋体" w:hAnsi="宋体"/>
                <w:color w:val="auto"/>
                <w:sz w:val="20"/>
                <w:highlight w:val="none"/>
                <w:lang w:eastAsia="zh-CN"/>
              </w:rPr>
              <w:t>投诉</w:t>
            </w:r>
            <w:r>
              <w:rPr>
                <w:rFonts w:hint="default" w:ascii="宋体" w:hAnsi="宋体"/>
                <w:color w:val="auto"/>
                <w:sz w:val="20"/>
                <w:highlight w:val="none"/>
                <w:lang w:eastAsia="zh-CN"/>
              </w:rPr>
              <w:t>工单</w:t>
            </w:r>
            <w:r>
              <w:rPr>
                <w:rFonts w:hint="eastAsia" w:ascii="宋体" w:hAnsi="宋体"/>
                <w:color w:val="auto"/>
                <w:sz w:val="20"/>
                <w:highlight w:val="none"/>
                <w:lang w:eastAsia="zh-CN"/>
              </w:rPr>
              <w:t>、</w:t>
            </w:r>
            <w:r>
              <w:rPr>
                <w:rFonts w:hint="eastAsia" w:ascii="宋体" w:hAnsi="宋体"/>
                <w:color w:val="auto"/>
                <w:sz w:val="20"/>
                <w:highlight w:val="none"/>
                <w:lang w:val="en-US" w:eastAsia="zh-CN"/>
              </w:rPr>
              <w:t>12398倾向工单</w:t>
            </w:r>
            <w:r>
              <w:rPr>
                <w:rFonts w:hint="eastAsia" w:ascii="宋体" w:hAnsi="宋体"/>
                <w:color w:val="auto"/>
                <w:sz w:val="20"/>
                <w:highlight w:val="none"/>
                <w:lang w:eastAsia="zh-CN"/>
              </w:rPr>
              <w:t>：</w:t>
            </w:r>
            <w:r>
              <w:rPr>
                <w:rFonts w:hint="default" w:ascii="宋体" w:hAnsi="宋体"/>
                <w:color w:val="auto"/>
                <w:sz w:val="20"/>
                <w:highlight w:val="none"/>
                <w:lang w:eastAsia="zh-CN"/>
              </w:rPr>
              <w:t>自工单到达岗位待办后</w:t>
            </w:r>
            <w:r>
              <w:rPr>
                <w:rFonts w:hint="eastAsia" w:ascii="宋体" w:hAnsi="宋体"/>
                <w:color w:val="auto"/>
                <w:sz w:val="20"/>
                <w:highlight w:val="none"/>
                <w:lang w:val="en-US" w:eastAsia="zh-CN"/>
              </w:rPr>
              <w:t>15</w:t>
            </w:r>
            <w:r>
              <w:rPr>
                <w:rFonts w:hint="default" w:ascii="宋体" w:hAnsi="宋体"/>
                <w:color w:val="auto"/>
                <w:sz w:val="20"/>
                <w:highlight w:val="none"/>
                <w:lang w:eastAsia="zh-CN"/>
              </w:rPr>
              <w:t>分钟内转派。</w:t>
            </w:r>
          </w:p>
          <w:p w14:paraId="53F3785E">
            <w:pPr>
              <w:numPr>
                <w:ilvl w:val="0"/>
                <w:numId w:val="2"/>
              </w:numPr>
              <w:autoSpaceDN w:val="0"/>
              <w:jc w:val="left"/>
              <w:textAlignment w:val="center"/>
              <w:rPr>
                <w:rFonts w:hint="eastAsia" w:ascii="宋体" w:hAnsi="宋体"/>
                <w:color w:val="auto"/>
                <w:sz w:val="20"/>
                <w:highlight w:val="none"/>
                <w:lang w:val="en-US" w:eastAsia="zh-CN"/>
              </w:rPr>
            </w:pPr>
            <w:r>
              <w:rPr>
                <w:rFonts w:hint="eastAsia" w:ascii="宋体" w:hAnsi="宋体"/>
                <w:color w:val="auto"/>
                <w:sz w:val="20"/>
                <w:highlight w:val="none"/>
                <w:lang w:val="en-US" w:eastAsia="zh-CN"/>
              </w:rPr>
              <w:t>95598其他工单：</w:t>
            </w:r>
            <w:r>
              <w:rPr>
                <w:rFonts w:hint="default" w:ascii="宋体" w:hAnsi="宋体"/>
                <w:color w:val="auto"/>
                <w:sz w:val="20"/>
                <w:highlight w:val="none"/>
                <w:lang w:eastAsia="zh-CN"/>
              </w:rPr>
              <w:t>自工单到达岗位待办后</w:t>
            </w:r>
            <w:r>
              <w:rPr>
                <w:rFonts w:hint="eastAsia" w:ascii="宋体" w:hAnsi="宋体"/>
                <w:color w:val="auto"/>
                <w:sz w:val="20"/>
                <w:highlight w:val="none"/>
                <w:lang w:val="en-US" w:eastAsia="zh-CN"/>
              </w:rPr>
              <w:t>30</w:t>
            </w:r>
            <w:r>
              <w:rPr>
                <w:rFonts w:hint="default" w:ascii="宋体" w:hAnsi="宋体"/>
                <w:color w:val="auto"/>
                <w:sz w:val="20"/>
                <w:highlight w:val="none"/>
                <w:lang w:eastAsia="zh-CN"/>
              </w:rPr>
              <w:t>分钟内转派。</w:t>
            </w:r>
          </w:p>
          <w:p w14:paraId="7848EC16">
            <w:pPr>
              <w:numPr>
                <w:ilvl w:val="0"/>
                <w:numId w:val="0"/>
              </w:numPr>
              <w:autoSpaceDN w:val="0"/>
              <w:jc w:val="left"/>
              <w:textAlignment w:val="center"/>
              <w:rPr>
                <w:rFonts w:hint="default"/>
                <w:color w:val="auto"/>
                <w:highlight w:val="none"/>
                <w:lang w:val="en-US" w:eastAsia="zh-CN"/>
              </w:rPr>
            </w:pPr>
            <w:r>
              <w:rPr>
                <w:rFonts w:hint="eastAsia" w:ascii="宋体" w:hAnsi="宋体"/>
                <w:color w:val="auto"/>
                <w:sz w:val="20"/>
                <w:highlight w:val="none"/>
                <w:lang w:val="en-US" w:eastAsia="zh-CN"/>
              </w:rPr>
              <w:t>3.因工单传递超时造成客户升级投诉，每1张扣2分。</w:t>
            </w:r>
          </w:p>
        </w:tc>
      </w:tr>
      <w:tr w14:paraId="54A7C949">
        <w:tblPrEx>
          <w:tblCellMar>
            <w:top w:w="0" w:type="dxa"/>
            <w:left w:w="108" w:type="dxa"/>
            <w:bottom w:w="0" w:type="dxa"/>
            <w:right w:w="108" w:type="dxa"/>
          </w:tblCellMar>
        </w:tblPrEx>
        <w:trPr>
          <w:trHeight w:val="1440" w:hRule="atLeast"/>
        </w:trPr>
        <w:tc>
          <w:tcPr>
            <w:tcW w:w="774" w:type="dxa"/>
            <w:vMerge w:val="continue"/>
            <w:tcBorders>
              <w:left w:val="single" w:color="000000" w:sz="4" w:space="0"/>
              <w:right w:val="single" w:color="000000" w:sz="4" w:space="0"/>
            </w:tcBorders>
            <w:vAlign w:val="center"/>
          </w:tcPr>
          <w:p w14:paraId="5EB09944">
            <w:pPr>
              <w:rPr>
                <w:color w:val="auto"/>
                <w:highlight w:val="none"/>
              </w:rPr>
            </w:pPr>
          </w:p>
        </w:tc>
        <w:tc>
          <w:tcPr>
            <w:tcW w:w="1132" w:type="dxa"/>
            <w:tcBorders>
              <w:bottom w:val="single" w:color="000000" w:sz="4" w:space="0"/>
            </w:tcBorders>
            <w:vAlign w:val="center"/>
          </w:tcPr>
          <w:p w14:paraId="5993EB26">
            <w:pPr>
              <w:autoSpaceDN w:val="0"/>
              <w:jc w:val="left"/>
              <w:textAlignment w:val="center"/>
              <w:rPr>
                <w:rFonts w:hint="eastAsia" w:ascii="宋体" w:hAnsi="宋体" w:eastAsiaTheme="minorEastAsia"/>
                <w:b/>
                <w:color w:val="auto"/>
                <w:sz w:val="20"/>
                <w:highlight w:val="none"/>
                <w:lang w:eastAsia="zh-CN"/>
              </w:rPr>
            </w:pPr>
            <w:r>
              <w:rPr>
                <w:rFonts w:hint="eastAsia" w:ascii="宋体" w:hAnsi="宋体"/>
                <w:b/>
                <w:color w:val="auto"/>
                <w:sz w:val="20"/>
                <w:highlight w:val="none"/>
                <w:lang w:val="en-US" w:eastAsia="zh-CN"/>
              </w:rPr>
              <w:t>95598工单反馈传递</w:t>
            </w:r>
            <w:r>
              <w:rPr>
                <w:rFonts w:hint="eastAsia" w:ascii="宋体" w:hAnsi="宋体"/>
                <w:b/>
                <w:color w:val="auto"/>
                <w:sz w:val="20"/>
                <w:highlight w:val="none"/>
                <w:lang w:eastAsia="zh-CN"/>
              </w:rPr>
              <w:t>及时率</w:t>
            </w:r>
          </w:p>
        </w:tc>
        <w:tc>
          <w:tcPr>
            <w:tcW w:w="735" w:type="dxa"/>
            <w:tcBorders>
              <w:left w:val="single" w:color="000000" w:sz="4" w:space="0"/>
              <w:bottom w:val="single" w:color="000000" w:sz="4" w:space="0"/>
              <w:right w:val="single" w:color="000000" w:sz="4" w:space="0"/>
            </w:tcBorders>
            <w:vAlign w:val="center"/>
          </w:tcPr>
          <w:p w14:paraId="72E2903F">
            <w:pPr>
              <w:autoSpaceDN w:val="0"/>
              <w:jc w:val="center"/>
              <w:textAlignment w:val="center"/>
              <w:rPr>
                <w:rFonts w:hint="eastAsia" w:ascii="宋体" w:hAnsi="宋体" w:eastAsiaTheme="minorEastAsia"/>
                <w:color w:val="auto"/>
                <w:sz w:val="20"/>
                <w:highlight w:val="none"/>
                <w:lang w:val="en-US" w:eastAsia="zh-CN"/>
              </w:rPr>
            </w:pPr>
            <w:r>
              <w:rPr>
                <w:rFonts w:ascii="宋体" w:hAnsi="宋体"/>
                <w:color w:val="auto"/>
                <w:sz w:val="20"/>
                <w:highlight w:val="none"/>
              </w:rPr>
              <w:t>1</w:t>
            </w:r>
            <w:r>
              <w:rPr>
                <w:rFonts w:hint="eastAsia" w:ascii="宋体" w:hAnsi="宋体"/>
                <w:color w:val="auto"/>
                <w:sz w:val="20"/>
                <w:highlight w:val="none"/>
                <w:lang w:val="en-US" w:eastAsia="zh-CN"/>
              </w:rPr>
              <w:t>5</w:t>
            </w:r>
          </w:p>
        </w:tc>
        <w:tc>
          <w:tcPr>
            <w:tcW w:w="1294" w:type="dxa"/>
            <w:tcBorders>
              <w:bottom w:val="single" w:color="000000" w:sz="4" w:space="0"/>
              <w:right w:val="single" w:color="000000" w:sz="4" w:space="0"/>
            </w:tcBorders>
            <w:vAlign w:val="center"/>
          </w:tcPr>
          <w:p w14:paraId="5A104DD0">
            <w:pPr>
              <w:autoSpaceDN w:val="0"/>
              <w:jc w:val="center"/>
              <w:textAlignment w:val="center"/>
              <w:rPr>
                <w:rFonts w:ascii="宋体" w:hAnsi="宋体"/>
                <w:color w:val="auto"/>
                <w:sz w:val="20"/>
                <w:highlight w:val="none"/>
              </w:rPr>
            </w:pPr>
            <w:r>
              <w:rPr>
                <w:rFonts w:ascii="宋体" w:hAnsi="宋体"/>
                <w:color w:val="auto"/>
                <w:sz w:val="20"/>
                <w:highlight w:val="none"/>
              </w:rPr>
              <w:t>≥9</w:t>
            </w:r>
            <w:r>
              <w:rPr>
                <w:rFonts w:hint="eastAsia" w:ascii="宋体" w:hAnsi="宋体"/>
                <w:color w:val="auto"/>
                <w:sz w:val="20"/>
                <w:highlight w:val="none"/>
                <w:lang w:val="en-US" w:eastAsia="zh-CN"/>
              </w:rPr>
              <w:t>8</w:t>
            </w:r>
            <w:r>
              <w:rPr>
                <w:rFonts w:ascii="宋体" w:hAnsi="宋体"/>
                <w:color w:val="auto"/>
                <w:sz w:val="20"/>
                <w:highlight w:val="none"/>
              </w:rPr>
              <w:t>%</w:t>
            </w:r>
          </w:p>
        </w:tc>
        <w:tc>
          <w:tcPr>
            <w:tcW w:w="2119" w:type="dxa"/>
            <w:tcBorders>
              <w:bottom w:val="single" w:color="000000" w:sz="4" w:space="0"/>
              <w:right w:val="single" w:color="000000" w:sz="4" w:space="0"/>
            </w:tcBorders>
            <w:vAlign w:val="center"/>
          </w:tcPr>
          <w:p w14:paraId="7C6163B9">
            <w:pPr>
              <w:autoSpaceDN w:val="0"/>
              <w:jc w:val="left"/>
              <w:textAlignment w:val="center"/>
              <w:rPr>
                <w:rFonts w:ascii="宋体" w:hAnsi="宋体"/>
                <w:color w:val="auto"/>
                <w:sz w:val="20"/>
                <w:highlight w:val="none"/>
              </w:rPr>
            </w:pPr>
            <w:r>
              <w:rPr>
                <w:rFonts w:hint="eastAsia" w:ascii="宋体" w:hAnsi="宋体"/>
                <w:color w:val="auto"/>
                <w:sz w:val="20"/>
                <w:highlight w:val="none"/>
                <w:lang w:eastAsia="zh-CN"/>
              </w:rPr>
              <w:t>按</w:t>
            </w:r>
            <w:r>
              <w:rPr>
                <w:rFonts w:ascii="宋体" w:hAnsi="宋体"/>
                <w:color w:val="auto"/>
                <w:sz w:val="20"/>
                <w:highlight w:val="none"/>
              </w:rPr>
              <w:t>时</w:t>
            </w:r>
            <w:r>
              <w:rPr>
                <w:rFonts w:hint="eastAsia" w:ascii="宋体" w:hAnsi="宋体"/>
                <w:color w:val="auto"/>
                <w:sz w:val="20"/>
                <w:highlight w:val="none"/>
                <w:lang w:eastAsia="zh-CN"/>
              </w:rPr>
              <w:t>反馈</w:t>
            </w:r>
            <w:r>
              <w:rPr>
                <w:rFonts w:hint="eastAsia" w:ascii="宋体" w:hAnsi="宋体"/>
                <w:color w:val="auto"/>
                <w:sz w:val="20"/>
                <w:highlight w:val="none"/>
                <w:lang w:val="en-US" w:eastAsia="zh-CN"/>
              </w:rPr>
              <w:t>传递</w:t>
            </w:r>
            <w:r>
              <w:rPr>
                <w:rFonts w:hint="eastAsia" w:ascii="宋体" w:hAnsi="宋体"/>
                <w:color w:val="auto"/>
                <w:sz w:val="20"/>
                <w:highlight w:val="none"/>
                <w:lang w:eastAsia="zh-CN"/>
              </w:rPr>
              <w:t>工单量</w:t>
            </w:r>
            <w:r>
              <w:rPr>
                <w:rFonts w:ascii="宋体" w:hAnsi="宋体"/>
                <w:color w:val="auto"/>
                <w:sz w:val="20"/>
                <w:highlight w:val="none"/>
              </w:rPr>
              <w:t>/</w:t>
            </w:r>
            <w:r>
              <w:rPr>
                <w:rFonts w:hint="eastAsia" w:ascii="宋体" w:hAnsi="宋体"/>
                <w:color w:val="auto"/>
                <w:sz w:val="20"/>
                <w:highlight w:val="none"/>
                <w:lang w:eastAsia="zh-CN"/>
              </w:rPr>
              <w:t>应反馈工单总量</w:t>
            </w:r>
            <w:r>
              <w:rPr>
                <w:rFonts w:ascii="宋体" w:hAnsi="宋体"/>
                <w:color w:val="auto"/>
                <w:sz w:val="20"/>
                <w:highlight w:val="none"/>
              </w:rPr>
              <w:t>*100%</w:t>
            </w:r>
          </w:p>
        </w:tc>
        <w:tc>
          <w:tcPr>
            <w:tcW w:w="2997" w:type="dxa"/>
            <w:tcBorders>
              <w:bottom w:val="single" w:color="000000" w:sz="4" w:space="0"/>
              <w:right w:val="single" w:color="000000" w:sz="4" w:space="0"/>
            </w:tcBorders>
            <w:vAlign w:val="center"/>
          </w:tcPr>
          <w:p w14:paraId="7942371F">
            <w:pPr>
              <w:autoSpaceDN w:val="0"/>
              <w:jc w:val="left"/>
              <w:textAlignment w:val="center"/>
              <w:rPr>
                <w:rFonts w:hint="eastAsia" w:ascii="宋体" w:hAnsi="宋体"/>
                <w:color w:val="auto"/>
                <w:sz w:val="20"/>
                <w:highlight w:val="none"/>
                <w:lang w:val="en-US" w:eastAsia="zh-CN"/>
              </w:rPr>
            </w:pPr>
            <w:r>
              <w:rPr>
                <w:rFonts w:hint="eastAsia" w:ascii="宋体" w:hAnsi="宋体"/>
                <w:color w:val="auto"/>
                <w:sz w:val="20"/>
                <w:highlight w:val="none"/>
                <w:lang w:val="en-US" w:eastAsia="zh-CN"/>
              </w:rPr>
              <w:t>完成目标值得满分。低于目标值n个百分点，扣1*n分。</w:t>
            </w:r>
          </w:p>
          <w:p w14:paraId="18B8E341">
            <w:pPr>
              <w:autoSpaceDN w:val="0"/>
              <w:jc w:val="left"/>
              <w:textAlignment w:val="center"/>
              <w:rPr>
                <w:rFonts w:hint="eastAsia" w:ascii="宋体" w:hAnsi="宋体"/>
                <w:b/>
                <w:bCs/>
                <w:color w:val="auto"/>
                <w:sz w:val="20"/>
                <w:highlight w:val="none"/>
                <w:lang w:eastAsia="zh-CN"/>
              </w:rPr>
            </w:pPr>
            <w:r>
              <w:rPr>
                <w:rFonts w:hint="eastAsia" w:ascii="宋体" w:hAnsi="宋体"/>
                <w:b/>
                <w:bCs/>
                <w:color w:val="auto"/>
                <w:sz w:val="20"/>
                <w:highlight w:val="none"/>
                <w:lang w:val="en-US" w:eastAsia="zh-CN"/>
              </w:rPr>
              <w:t>工作要求</w:t>
            </w:r>
            <w:r>
              <w:rPr>
                <w:rFonts w:hint="eastAsia" w:ascii="宋体" w:hAnsi="宋体"/>
                <w:b/>
                <w:bCs/>
                <w:color w:val="auto"/>
                <w:sz w:val="20"/>
                <w:highlight w:val="none"/>
                <w:lang w:eastAsia="zh-CN"/>
              </w:rPr>
              <w:t>：</w:t>
            </w:r>
          </w:p>
          <w:p w14:paraId="195BE4E6">
            <w:pPr>
              <w:autoSpaceDN w:val="0"/>
              <w:jc w:val="left"/>
              <w:textAlignment w:val="center"/>
              <w:rPr>
                <w:rFonts w:hint="default" w:ascii="宋体" w:hAnsi="宋体"/>
                <w:color w:val="auto"/>
                <w:sz w:val="20"/>
                <w:highlight w:val="none"/>
              </w:rPr>
            </w:pPr>
            <w:r>
              <w:rPr>
                <w:rFonts w:hint="eastAsia" w:ascii="宋体" w:hAnsi="宋体"/>
                <w:color w:val="auto"/>
                <w:sz w:val="20"/>
                <w:highlight w:val="none"/>
                <w:lang w:val="en-US" w:eastAsia="zh-CN"/>
              </w:rPr>
              <w:t>95598工单要求自工单到达岗位待办后2小时内</w:t>
            </w:r>
            <w:r>
              <w:rPr>
                <w:rFonts w:hint="default" w:ascii="宋体" w:hAnsi="宋体"/>
                <w:color w:val="auto"/>
                <w:sz w:val="20"/>
                <w:highlight w:val="none"/>
                <w:lang w:eastAsia="zh-CN"/>
              </w:rPr>
              <w:t>反馈。</w:t>
            </w:r>
          </w:p>
        </w:tc>
      </w:tr>
      <w:tr w14:paraId="1AE21959">
        <w:tblPrEx>
          <w:tblCellMar>
            <w:top w:w="0" w:type="dxa"/>
            <w:left w:w="108" w:type="dxa"/>
            <w:bottom w:w="0" w:type="dxa"/>
            <w:right w:w="108" w:type="dxa"/>
          </w:tblCellMar>
        </w:tblPrEx>
        <w:trPr>
          <w:trHeight w:val="480" w:hRule="atLeast"/>
        </w:trPr>
        <w:tc>
          <w:tcPr>
            <w:tcW w:w="774" w:type="dxa"/>
            <w:vMerge w:val="continue"/>
            <w:tcBorders>
              <w:left w:val="single" w:color="000000" w:sz="4" w:space="0"/>
              <w:right w:val="single" w:color="000000" w:sz="4" w:space="0"/>
            </w:tcBorders>
            <w:vAlign w:val="center"/>
          </w:tcPr>
          <w:p w14:paraId="3DFCABA8">
            <w:pPr>
              <w:rPr>
                <w:color w:val="auto"/>
                <w:highlight w:val="none"/>
              </w:rPr>
            </w:pPr>
          </w:p>
        </w:tc>
        <w:tc>
          <w:tcPr>
            <w:tcW w:w="1132" w:type="dxa"/>
            <w:tcBorders>
              <w:bottom w:val="single" w:color="000000" w:sz="4" w:space="0"/>
            </w:tcBorders>
            <w:vAlign w:val="center"/>
          </w:tcPr>
          <w:p w14:paraId="32F4A88C">
            <w:pPr>
              <w:autoSpaceDN w:val="0"/>
              <w:jc w:val="left"/>
              <w:textAlignment w:val="center"/>
              <w:rPr>
                <w:rFonts w:hint="default" w:ascii="宋体" w:hAnsi="宋体" w:eastAsiaTheme="minorEastAsia"/>
                <w:b/>
                <w:color w:val="auto"/>
                <w:sz w:val="20"/>
                <w:highlight w:val="none"/>
                <w:lang w:val="en-US" w:eastAsia="zh-CN"/>
              </w:rPr>
            </w:pPr>
            <w:r>
              <w:rPr>
                <w:rFonts w:hint="eastAsia" w:ascii="宋体" w:hAnsi="宋体"/>
                <w:b/>
                <w:color w:val="auto"/>
                <w:sz w:val="20"/>
                <w:highlight w:val="none"/>
                <w:lang w:val="en-US" w:eastAsia="zh-CN"/>
              </w:rPr>
              <w:t>12345工单受理传递及时率</w:t>
            </w:r>
          </w:p>
        </w:tc>
        <w:tc>
          <w:tcPr>
            <w:tcW w:w="735" w:type="dxa"/>
            <w:tcBorders>
              <w:left w:val="single" w:color="000000" w:sz="4" w:space="0"/>
              <w:bottom w:val="single" w:color="000000" w:sz="4" w:space="0"/>
              <w:right w:val="single" w:color="000000" w:sz="4" w:space="0"/>
            </w:tcBorders>
            <w:vAlign w:val="center"/>
          </w:tcPr>
          <w:p w14:paraId="1F6508A3">
            <w:pPr>
              <w:autoSpaceDN w:val="0"/>
              <w:jc w:val="center"/>
              <w:textAlignment w:val="center"/>
              <w:rPr>
                <w:rFonts w:hint="eastAsia" w:ascii="宋体" w:hAnsi="宋体" w:eastAsiaTheme="minorEastAsia"/>
                <w:color w:val="auto"/>
                <w:sz w:val="20"/>
                <w:highlight w:val="none"/>
                <w:lang w:eastAsia="zh-CN"/>
              </w:rPr>
            </w:pPr>
            <w:r>
              <w:rPr>
                <w:rFonts w:ascii="宋体" w:hAnsi="宋体"/>
                <w:color w:val="auto"/>
                <w:sz w:val="20"/>
                <w:highlight w:val="none"/>
              </w:rPr>
              <w:t>1</w:t>
            </w:r>
            <w:r>
              <w:rPr>
                <w:rFonts w:hint="eastAsia" w:ascii="宋体" w:hAnsi="宋体"/>
                <w:color w:val="auto"/>
                <w:sz w:val="20"/>
                <w:highlight w:val="none"/>
                <w:lang w:val="en-US" w:eastAsia="zh-CN"/>
              </w:rPr>
              <w:t>5</w:t>
            </w:r>
          </w:p>
        </w:tc>
        <w:tc>
          <w:tcPr>
            <w:tcW w:w="1294" w:type="dxa"/>
            <w:tcBorders>
              <w:bottom w:val="single" w:color="000000" w:sz="4" w:space="0"/>
              <w:right w:val="single" w:color="000000" w:sz="4" w:space="0"/>
            </w:tcBorders>
            <w:vAlign w:val="center"/>
          </w:tcPr>
          <w:p w14:paraId="1BC78E9E">
            <w:pPr>
              <w:autoSpaceDN w:val="0"/>
              <w:jc w:val="center"/>
              <w:textAlignment w:val="center"/>
              <w:rPr>
                <w:rFonts w:hint="eastAsia" w:ascii="宋体" w:hAnsi="宋体" w:eastAsiaTheme="minorEastAsia"/>
                <w:color w:val="auto"/>
                <w:sz w:val="20"/>
                <w:highlight w:val="none"/>
                <w:lang w:eastAsia="zh-CN"/>
              </w:rPr>
            </w:pPr>
            <w:r>
              <w:rPr>
                <w:rFonts w:hint="eastAsia" w:ascii="宋体" w:hAnsi="宋体"/>
                <w:color w:val="auto"/>
                <w:sz w:val="20"/>
                <w:highlight w:val="none"/>
                <w:lang w:val="en-US" w:eastAsia="zh-CN"/>
              </w:rPr>
              <w:t>100%</w:t>
            </w:r>
          </w:p>
        </w:tc>
        <w:tc>
          <w:tcPr>
            <w:tcW w:w="2119" w:type="dxa"/>
            <w:tcBorders>
              <w:bottom w:val="single" w:color="000000" w:sz="4" w:space="0"/>
              <w:right w:val="single" w:color="000000" w:sz="4" w:space="0"/>
            </w:tcBorders>
            <w:vAlign w:val="center"/>
          </w:tcPr>
          <w:p w14:paraId="143EB463">
            <w:pPr>
              <w:autoSpaceDN w:val="0"/>
              <w:jc w:val="left"/>
              <w:textAlignment w:val="center"/>
              <w:rPr>
                <w:rFonts w:hint="default" w:ascii="宋体" w:hAnsi="宋体"/>
                <w:color w:val="auto"/>
                <w:sz w:val="20"/>
                <w:highlight w:val="none"/>
                <w:lang w:val="en-US"/>
              </w:rPr>
            </w:pPr>
            <w:r>
              <w:rPr>
                <w:rFonts w:hint="eastAsia" w:ascii="宋体" w:hAnsi="宋体"/>
                <w:color w:val="auto"/>
                <w:sz w:val="20"/>
                <w:highlight w:val="none"/>
                <w:lang w:val="en-US" w:eastAsia="zh-CN"/>
              </w:rPr>
              <w:t>按时</w:t>
            </w:r>
            <w:r>
              <w:rPr>
                <w:rFonts w:hint="eastAsia" w:ascii="宋体" w:hAnsi="宋体"/>
                <w:color w:val="auto"/>
                <w:sz w:val="20"/>
                <w:highlight w:val="none"/>
                <w:lang w:eastAsia="zh-CN"/>
              </w:rPr>
              <w:t>传递</w:t>
            </w:r>
            <w:r>
              <w:rPr>
                <w:rFonts w:hint="eastAsia" w:ascii="宋体" w:hAnsi="宋体"/>
                <w:color w:val="auto"/>
                <w:sz w:val="20"/>
                <w:highlight w:val="none"/>
                <w:lang w:val="en-US" w:eastAsia="zh-CN"/>
              </w:rPr>
              <w:t>12345转办工单量/需传递12345转办工单量</w:t>
            </w:r>
            <w:r>
              <w:rPr>
                <w:rFonts w:ascii="宋体" w:hAnsi="宋体"/>
                <w:color w:val="auto"/>
                <w:sz w:val="20"/>
                <w:highlight w:val="none"/>
              </w:rPr>
              <w:t>*100%</w:t>
            </w:r>
          </w:p>
        </w:tc>
        <w:tc>
          <w:tcPr>
            <w:tcW w:w="2997" w:type="dxa"/>
            <w:tcBorders>
              <w:bottom w:val="single" w:color="000000" w:sz="4" w:space="0"/>
              <w:right w:val="single" w:color="000000" w:sz="4" w:space="0"/>
            </w:tcBorders>
            <w:vAlign w:val="center"/>
          </w:tcPr>
          <w:p w14:paraId="2B2903BE">
            <w:pPr>
              <w:autoSpaceDN w:val="0"/>
              <w:jc w:val="left"/>
              <w:textAlignment w:val="center"/>
              <w:rPr>
                <w:rFonts w:hint="eastAsia" w:ascii="宋体" w:hAnsi="宋体"/>
                <w:color w:val="auto"/>
                <w:sz w:val="20"/>
                <w:highlight w:val="none"/>
                <w:lang w:val="en-US" w:eastAsia="zh-CN"/>
              </w:rPr>
            </w:pPr>
            <w:r>
              <w:rPr>
                <w:rFonts w:hint="eastAsia" w:ascii="宋体" w:hAnsi="宋体"/>
                <w:color w:val="auto"/>
                <w:sz w:val="20"/>
                <w:highlight w:val="none"/>
                <w:lang w:val="en-US" w:eastAsia="zh-CN"/>
              </w:rPr>
              <w:t>在抽查或12345通报超时的工单中，如存在未在规定时间传递工单的，每1宗扣0.5分。</w:t>
            </w:r>
          </w:p>
          <w:p w14:paraId="2E1391D7">
            <w:pPr>
              <w:autoSpaceDN w:val="0"/>
              <w:jc w:val="left"/>
              <w:textAlignment w:val="center"/>
              <w:rPr>
                <w:rFonts w:hint="eastAsia" w:ascii="宋体" w:hAnsi="宋体"/>
                <w:b/>
                <w:bCs/>
                <w:color w:val="auto"/>
                <w:sz w:val="20"/>
                <w:highlight w:val="none"/>
                <w:lang w:val="en-US" w:eastAsia="zh-CN"/>
              </w:rPr>
            </w:pPr>
            <w:r>
              <w:rPr>
                <w:rFonts w:hint="eastAsia" w:ascii="宋体" w:hAnsi="宋体"/>
                <w:b/>
                <w:bCs/>
                <w:color w:val="auto"/>
                <w:sz w:val="20"/>
                <w:highlight w:val="none"/>
                <w:lang w:val="en-US" w:eastAsia="zh-CN"/>
              </w:rPr>
              <w:t>工作要求：</w:t>
            </w:r>
          </w:p>
          <w:p w14:paraId="06530FBB">
            <w:pPr>
              <w:autoSpaceDN w:val="0"/>
              <w:jc w:val="left"/>
              <w:textAlignment w:val="center"/>
              <w:rPr>
                <w:rFonts w:hint="eastAsia" w:ascii="宋体" w:hAnsi="宋体"/>
                <w:color w:val="auto"/>
                <w:sz w:val="20"/>
                <w:highlight w:val="none"/>
                <w:lang w:val="en-US" w:eastAsia="zh-CN"/>
              </w:rPr>
            </w:pPr>
            <w:r>
              <w:rPr>
                <w:rFonts w:hint="eastAsia" w:ascii="宋体" w:hAnsi="宋体"/>
                <w:color w:val="auto"/>
                <w:sz w:val="20"/>
                <w:highlight w:val="none"/>
                <w:lang w:val="en-US" w:eastAsia="zh-CN"/>
              </w:rPr>
              <w:t>1.12345工单转派：自工单到达“待办工单”后15分钟内转派。</w:t>
            </w:r>
          </w:p>
          <w:p w14:paraId="218C6C1C">
            <w:pPr>
              <w:autoSpaceDN w:val="0"/>
              <w:jc w:val="left"/>
              <w:textAlignment w:val="center"/>
              <w:rPr>
                <w:rFonts w:hint="default" w:ascii="宋体" w:hAnsi="宋体"/>
                <w:color w:val="auto"/>
                <w:sz w:val="20"/>
                <w:highlight w:val="none"/>
                <w:lang w:val="en-US" w:eastAsia="zh-CN"/>
              </w:rPr>
            </w:pPr>
            <w:r>
              <w:rPr>
                <w:rFonts w:hint="eastAsia" w:ascii="宋体" w:hAnsi="宋体"/>
                <w:color w:val="auto"/>
                <w:sz w:val="20"/>
                <w:highlight w:val="none"/>
                <w:lang w:val="en-US" w:eastAsia="zh-CN"/>
              </w:rPr>
              <w:t>2.12345工单反馈：自工单到达“待办工单”后4小时内反馈。</w:t>
            </w:r>
          </w:p>
        </w:tc>
      </w:tr>
      <w:tr w14:paraId="4E542E1B">
        <w:tblPrEx>
          <w:tblCellMar>
            <w:top w:w="0" w:type="dxa"/>
            <w:left w:w="108" w:type="dxa"/>
            <w:bottom w:w="0" w:type="dxa"/>
            <w:right w:w="108" w:type="dxa"/>
          </w:tblCellMar>
        </w:tblPrEx>
        <w:trPr>
          <w:trHeight w:val="480" w:hRule="atLeast"/>
        </w:trPr>
        <w:tc>
          <w:tcPr>
            <w:tcW w:w="774" w:type="dxa"/>
            <w:tcBorders>
              <w:left w:val="single" w:color="000000" w:sz="4" w:space="0"/>
              <w:right w:val="single" w:color="000000" w:sz="4" w:space="0"/>
            </w:tcBorders>
            <w:vAlign w:val="center"/>
          </w:tcPr>
          <w:p w14:paraId="5A26CC80">
            <w:pPr>
              <w:rPr>
                <w:color w:val="auto"/>
                <w:highlight w:val="none"/>
              </w:rPr>
            </w:pPr>
          </w:p>
        </w:tc>
        <w:tc>
          <w:tcPr>
            <w:tcW w:w="1132" w:type="dxa"/>
            <w:tcBorders>
              <w:bottom w:val="single" w:color="000000" w:sz="4" w:space="0"/>
            </w:tcBorders>
            <w:vAlign w:val="center"/>
          </w:tcPr>
          <w:p w14:paraId="0FF064D3">
            <w:pPr>
              <w:autoSpaceDN w:val="0"/>
              <w:jc w:val="left"/>
              <w:textAlignment w:val="center"/>
              <w:rPr>
                <w:rFonts w:hint="default" w:ascii="宋体" w:hAnsi="宋体"/>
                <w:b/>
                <w:color w:val="auto"/>
                <w:sz w:val="20"/>
                <w:highlight w:val="none"/>
                <w:lang w:val="en-US" w:eastAsia="zh-CN"/>
              </w:rPr>
            </w:pPr>
            <w:r>
              <w:rPr>
                <w:rFonts w:hint="eastAsia" w:ascii="宋体" w:hAnsi="宋体"/>
                <w:b/>
                <w:color w:val="auto"/>
                <w:sz w:val="20"/>
                <w:highlight w:val="none"/>
                <w:lang w:val="en-US" w:eastAsia="zh-CN"/>
              </w:rPr>
              <w:t>满意度调查及时率</w:t>
            </w:r>
          </w:p>
        </w:tc>
        <w:tc>
          <w:tcPr>
            <w:tcW w:w="735" w:type="dxa"/>
            <w:tcBorders>
              <w:left w:val="single" w:color="000000" w:sz="4" w:space="0"/>
              <w:bottom w:val="single" w:color="000000" w:sz="4" w:space="0"/>
              <w:right w:val="single" w:color="000000" w:sz="4" w:space="0"/>
            </w:tcBorders>
            <w:vAlign w:val="center"/>
          </w:tcPr>
          <w:p w14:paraId="6B6BDE25">
            <w:pPr>
              <w:autoSpaceDN w:val="0"/>
              <w:jc w:val="center"/>
              <w:textAlignment w:val="center"/>
              <w:rPr>
                <w:rFonts w:hint="default" w:ascii="宋体" w:hAnsi="宋体" w:eastAsiaTheme="minorEastAsia"/>
                <w:color w:val="auto"/>
                <w:sz w:val="20"/>
                <w:highlight w:val="none"/>
                <w:lang w:val="en-US" w:eastAsia="zh-CN"/>
              </w:rPr>
            </w:pPr>
            <w:r>
              <w:rPr>
                <w:rFonts w:hint="eastAsia" w:ascii="宋体" w:hAnsi="宋体"/>
                <w:color w:val="auto"/>
                <w:sz w:val="20"/>
                <w:highlight w:val="none"/>
                <w:lang w:val="en-US" w:eastAsia="zh-CN"/>
              </w:rPr>
              <w:t>5</w:t>
            </w:r>
          </w:p>
        </w:tc>
        <w:tc>
          <w:tcPr>
            <w:tcW w:w="1294" w:type="dxa"/>
            <w:tcBorders>
              <w:bottom w:val="single" w:color="000000" w:sz="4" w:space="0"/>
              <w:right w:val="single" w:color="000000" w:sz="4" w:space="0"/>
            </w:tcBorders>
            <w:vAlign w:val="center"/>
          </w:tcPr>
          <w:p w14:paraId="47E0A3BB">
            <w:pPr>
              <w:autoSpaceDN w:val="0"/>
              <w:jc w:val="center"/>
              <w:textAlignment w:val="center"/>
              <w:rPr>
                <w:rFonts w:hint="eastAsia" w:ascii="宋体" w:hAnsi="宋体" w:eastAsiaTheme="minorEastAsia"/>
                <w:color w:val="auto"/>
                <w:sz w:val="20"/>
                <w:highlight w:val="none"/>
                <w:lang w:eastAsia="zh-CN"/>
              </w:rPr>
            </w:pPr>
            <w:r>
              <w:rPr>
                <w:rFonts w:hint="eastAsia" w:ascii="宋体" w:hAnsi="宋体"/>
                <w:color w:val="auto"/>
                <w:sz w:val="20"/>
                <w:highlight w:val="none"/>
                <w:lang w:val="en-US" w:eastAsia="zh-CN"/>
              </w:rPr>
              <w:t>100%</w:t>
            </w:r>
          </w:p>
        </w:tc>
        <w:tc>
          <w:tcPr>
            <w:tcW w:w="2119" w:type="dxa"/>
            <w:tcBorders>
              <w:bottom w:val="single" w:color="000000" w:sz="4" w:space="0"/>
              <w:right w:val="single" w:color="000000" w:sz="4" w:space="0"/>
            </w:tcBorders>
            <w:vAlign w:val="center"/>
          </w:tcPr>
          <w:p w14:paraId="42C5DFB7">
            <w:pPr>
              <w:autoSpaceDN w:val="0"/>
              <w:jc w:val="left"/>
              <w:textAlignment w:val="center"/>
              <w:rPr>
                <w:rFonts w:hint="eastAsia" w:ascii="宋体" w:hAnsi="宋体"/>
                <w:color w:val="auto"/>
                <w:sz w:val="20"/>
                <w:highlight w:val="none"/>
                <w:lang w:val="en-US" w:eastAsia="zh-CN"/>
              </w:rPr>
            </w:pPr>
            <w:r>
              <w:rPr>
                <w:rFonts w:hint="eastAsia" w:ascii="宋体" w:hAnsi="宋体"/>
                <w:color w:val="auto"/>
                <w:sz w:val="20"/>
                <w:highlight w:val="none"/>
                <w:lang w:val="en-US" w:eastAsia="zh-CN"/>
              </w:rPr>
              <w:t>按时完成满意度调查工单量/应完成满意度调查工单量*100%</w:t>
            </w:r>
          </w:p>
          <w:p w14:paraId="2FA171DC">
            <w:pPr>
              <w:autoSpaceDN w:val="0"/>
              <w:jc w:val="left"/>
              <w:textAlignment w:val="center"/>
              <w:rPr>
                <w:rFonts w:hint="eastAsia" w:eastAsiaTheme="minorEastAsia"/>
                <w:color w:val="auto"/>
                <w:highlight w:val="none"/>
                <w:lang w:val="en-US" w:eastAsia="zh-CN"/>
              </w:rPr>
            </w:pPr>
            <w:r>
              <w:rPr>
                <w:rFonts w:hint="eastAsia" w:ascii="宋体" w:hAnsi="宋体"/>
                <w:color w:val="auto"/>
                <w:sz w:val="20"/>
                <w:highlight w:val="none"/>
                <w:lang w:val="en-US" w:eastAsia="zh-CN"/>
              </w:rPr>
              <w:t>注：满意度调查工作量是指客服工单、业扩工单等需进行短信、电话回访的工单总数。</w:t>
            </w:r>
          </w:p>
        </w:tc>
        <w:tc>
          <w:tcPr>
            <w:tcW w:w="2997" w:type="dxa"/>
            <w:tcBorders>
              <w:bottom w:val="single" w:color="000000" w:sz="4" w:space="0"/>
              <w:right w:val="single" w:color="000000" w:sz="4" w:space="0"/>
            </w:tcBorders>
            <w:vAlign w:val="center"/>
          </w:tcPr>
          <w:p w14:paraId="426F2404">
            <w:pPr>
              <w:autoSpaceDN w:val="0"/>
              <w:jc w:val="left"/>
              <w:textAlignment w:val="center"/>
              <w:rPr>
                <w:rFonts w:hint="default" w:ascii="宋体" w:hAnsi="宋体"/>
                <w:color w:val="auto"/>
                <w:sz w:val="20"/>
                <w:highlight w:val="none"/>
                <w:lang w:val="en-US" w:eastAsia="zh-CN"/>
              </w:rPr>
            </w:pPr>
            <w:r>
              <w:rPr>
                <w:rFonts w:hint="eastAsia" w:ascii="宋体" w:hAnsi="宋体"/>
                <w:color w:val="auto"/>
                <w:sz w:val="20"/>
                <w:highlight w:val="none"/>
                <w:lang w:val="en-US" w:eastAsia="zh-CN"/>
              </w:rPr>
              <w:t>完成目标值</w:t>
            </w:r>
            <w:r>
              <w:rPr>
                <w:rFonts w:hint="default" w:ascii="宋体" w:hAnsi="宋体"/>
                <w:color w:val="auto"/>
                <w:sz w:val="20"/>
                <w:highlight w:val="none"/>
                <w:lang w:eastAsia="zh-CN"/>
              </w:rPr>
              <w:t>得</w:t>
            </w:r>
            <w:r>
              <w:rPr>
                <w:rFonts w:hint="eastAsia" w:ascii="宋体" w:hAnsi="宋体"/>
                <w:color w:val="auto"/>
                <w:sz w:val="20"/>
                <w:highlight w:val="none"/>
                <w:lang w:val="en-US" w:eastAsia="zh-CN"/>
              </w:rPr>
              <w:t>满分。低于目标值n个百分点，扣1*n分。</w:t>
            </w:r>
          </w:p>
          <w:p w14:paraId="745379F6">
            <w:pPr>
              <w:numPr>
                <w:ilvl w:val="0"/>
                <w:numId w:val="0"/>
              </w:numPr>
              <w:autoSpaceDN w:val="0"/>
              <w:jc w:val="left"/>
              <w:textAlignment w:val="center"/>
              <w:rPr>
                <w:rFonts w:hint="default" w:ascii="宋体" w:hAnsi="宋体"/>
                <w:b/>
                <w:bCs/>
                <w:color w:val="auto"/>
                <w:sz w:val="20"/>
                <w:highlight w:val="none"/>
                <w:lang w:val="en-US" w:eastAsia="zh-CN"/>
              </w:rPr>
            </w:pPr>
            <w:r>
              <w:rPr>
                <w:rFonts w:hint="eastAsia" w:ascii="宋体" w:hAnsi="宋体"/>
                <w:b/>
                <w:bCs/>
                <w:color w:val="auto"/>
                <w:sz w:val="20"/>
                <w:highlight w:val="none"/>
                <w:lang w:val="en-US" w:eastAsia="zh-CN"/>
              </w:rPr>
              <w:t>工作要求：</w:t>
            </w:r>
          </w:p>
          <w:p w14:paraId="39BBAE79">
            <w:pPr>
              <w:numPr>
                <w:ilvl w:val="0"/>
                <w:numId w:val="0"/>
              </w:numPr>
              <w:autoSpaceDN w:val="0"/>
              <w:jc w:val="left"/>
              <w:textAlignment w:val="center"/>
              <w:rPr>
                <w:rFonts w:hint="eastAsia" w:ascii="宋体" w:hAnsi="宋体"/>
                <w:color w:val="auto"/>
                <w:sz w:val="20"/>
                <w:highlight w:val="none"/>
                <w:lang w:val="en-US" w:eastAsia="zh-CN"/>
              </w:rPr>
            </w:pPr>
            <w:r>
              <w:rPr>
                <w:rFonts w:hint="eastAsia" w:ascii="宋体" w:hAnsi="宋体"/>
                <w:color w:val="auto"/>
                <w:sz w:val="20"/>
                <w:highlight w:val="none"/>
                <w:lang w:val="en-US" w:eastAsia="zh-CN"/>
              </w:rPr>
              <w:t>1.客服工单归档的第二天开始计算，3天内完成客户满意度调查。</w:t>
            </w:r>
          </w:p>
          <w:p w14:paraId="69B4A17A">
            <w:pPr>
              <w:autoSpaceDN w:val="0"/>
              <w:jc w:val="left"/>
              <w:textAlignment w:val="center"/>
              <w:rPr>
                <w:rFonts w:hint="eastAsia" w:ascii="宋体" w:hAnsi="宋体"/>
                <w:color w:val="auto"/>
                <w:sz w:val="20"/>
                <w:highlight w:val="none"/>
                <w:lang w:val="en-US" w:eastAsia="zh-CN"/>
              </w:rPr>
            </w:pPr>
            <w:r>
              <w:rPr>
                <w:rFonts w:hint="eastAsia" w:ascii="宋体" w:hAnsi="宋体"/>
                <w:color w:val="auto"/>
                <w:sz w:val="20"/>
                <w:highlight w:val="none"/>
                <w:lang w:val="en-US" w:eastAsia="zh-CN"/>
              </w:rPr>
              <w:t>2.获取业扩工单不满意清单的第二天开始计算，3天内完成客户满意度调查。</w:t>
            </w:r>
          </w:p>
          <w:p w14:paraId="60CD6A41">
            <w:pPr>
              <w:autoSpaceDN w:val="0"/>
              <w:jc w:val="left"/>
              <w:textAlignment w:val="center"/>
              <w:rPr>
                <w:rFonts w:hint="default" w:ascii="宋体" w:hAnsi="宋体"/>
                <w:color w:val="auto"/>
                <w:sz w:val="20"/>
                <w:highlight w:val="none"/>
                <w:lang w:val="en-US" w:eastAsia="zh-CN"/>
              </w:rPr>
            </w:pPr>
            <w:r>
              <w:rPr>
                <w:rFonts w:hint="eastAsia" w:ascii="宋体" w:hAnsi="宋体"/>
                <w:color w:val="auto"/>
                <w:sz w:val="20"/>
                <w:highlight w:val="none"/>
                <w:lang w:val="en-US" w:eastAsia="zh-CN"/>
              </w:rPr>
              <w:t>3.专项满意度调查不在此统计范围内。</w:t>
            </w:r>
          </w:p>
        </w:tc>
      </w:tr>
      <w:tr w14:paraId="562C0699">
        <w:tblPrEx>
          <w:tblCellMar>
            <w:top w:w="0" w:type="dxa"/>
            <w:left w:w="108" w:type="dxa"/>
            <w:bottom w:w="0" w:type="dxa"/>
            <w:right w:w="108" w:type="dxa"/>
          </w:tblCellMar>
        </w:tblPrEx>
        <w:trPr>
          <w:trHeight w:val="675" w:hRule="atLeast"/>
        </w:trPr>
        <w:tc>
          <w:tcPr>
            <w:tcW w:w="774" w:type="dxa"/>
            <w:vMerge w:val="restart"/>
            <w:tcBorders>
              <w:top w:val="single" w:color="000000" w:sz="4" w:space="0"/>
              <w:left w:val="single" w:color="000000" w:sz="4" w:space="0"/>
              <w:right w:val="single" w:color="000000" w:sz="4" w:space="0"/>
            </w:tcBorders>
            <w:vAlign w:val="center"/>
          </w:tcPr>
          <w:p w14:paraId="599C4ECD">
            <w:pPr>
              <w:autoSpaceDN w:val="0"/>
              <w:jc w:val="center"/>
              <w:textAlignment w:val="center"/>
              <w:rPr>
                <w:rFonts w:ascii="宋体" w:hAnsi="宋体"/>
                <w:b/>
                <w:color w:val="auto"/>
                <w:sz w:val="20"/>
                <w:highlight w:val="none"/>
              </w:rPr>
            </w:pPr>
            <w:r>
              <w:rPr>
                <w:rFonts w:ascii="宋体" w:hAnsi="宋体"/>
                <w:b/>
                <w:color w:val="auto"/>
                <w:sz w:val="20"/>
                <w:highlight w:val="none"/>
              </w:rPr>
              <w:t>质量指标（</w:t>
            </w:r>
            <w:r>
              <w:rPr>
                <w:rFonts w:hint="eastAsia" w:ascii="宋体" w:hAnsi="宋体"/>
                <w:b/>
                <w:color w:val="auto"/>
                <w:sz w:val="20"/>
                <w:highlight w:val="none"/>
                <w:lang w:val="en-US" w:eastAsia="zh-CN"/>
              </w:rPr>
              <w:t>45</w:t>
            </w:r>
            <w:r>
              <w:rPr>
                <w:rFonts w:ascii="宋体" w:hAnsi="宋体"/>
                <w:b/>
                <w:color w:val="auto"/>
                <w:sz w:val="20"/>
                <w:highlight w:val="none"/>
              </w:rPr>
              <w:t>%）</w:t>
            </w:r>
          </w:p>
        </w:tc>
        <w:tc>
          <w:tcPr>
            <w:tcW w:w="1132" w:type="dxa"/>
            <w:tcBorders>
              <w:bottom w:val="single" w:color="000000" w:sz="4" w:space="0"/>
            </w:tcBorders>
            <w:vAlign w:val="center"/>
          </w:tcPr>
          <w:p w14:paraId="21C20539">
            <w:pPr>
              <w:autoSpaceDN w:val="0"/>
              <w:jc w:val="left"/>
              <w:textAlignment w:val="center"/>
              <w:rPr>
                <w:rFonts w:hint="default" w:ascii="宋体" w:hAnsi="宋体" w:eastAsiaTheme="minorEastAsia"/>
                <w:b/>
                <w:color w:val="auto"/>
                <w:sz w:val="20"/>
                <w:highlight w:val="none"/>
                <w:lang w:val="en-US" w:eastAsia="zh-CN"/>
              </w:rPr>
            </w:pPr>
            <w:r>
              <w:rPr>
                <w:rFonts w:hint="eastAsia" w:ascii="宋体" w:hAnsi="宋体"/>
                <w:b/>
                <w:color w:val="auto"/>
                <w:sz w:val="20"/>
                <w:highlight w:val="none"/>
                <w:lang w:val="en-US" w:eastAsia="zh-CN"/>
              </w:rPr>
              <w:t>工单转派准确率</w:t>
            </w:r>
          </w:p>
        </w:tc>
        <w:tc>
          <w:tcPr>
            <w:tcW w:w="735" w:type="dxa"/>
            <w:tcBorders>
              <w:left w:val="single" w:color="000000" w:sz="4" w:space="0"/>
              <w:bottom w:val="single" w:color="000000" w:sz="4" w:space="0"/>
              <w:right w:val="single" w:color="000000" w:sz="4" w:space="0"/>
            </w:tcBorders>
            <w:vAlign w:val="center"/>
          </w:tcPr>
          <w:p w14:paraId="1C653C31">
            <w:pPr>
              <w:autoSpaceDN w:val="0"/>
              <w:jc w:val="center"/>
              <w:textAlignment w:val="center"/>
              <w:rPr>
                <w:rFonts w:hint="default" w:ascii="宋体" w:hAnsi="宋体" w:eastAsiaTheme="minorEastAsia"/>
                <w:color w:val="auto"/>
                <w:sz w:val="20"/>
                <w:highlight w:val="none"/>
                <w:lang w:val="en-US" w:eastAsia="zh-CN"/>
              </w:rPr>
            </w:pPr>
            <w:r>
              <w:rPr>
                <w:rFonts w:hint="eastAsia" w:ascii="宋体" w:hAnsi="宋体"/>
                <w:color w:val="auto"/>
                <w:sz w:val="20"/>
                <w:highlight w:val="none"/>
                <w:lang w:val="en-US" w:eastAsia="zh-CN"/>
              </w:rPr>
              <w:t>15</w:t>
            </w:r>
          </w:p>
        </w:tc>
        <w:tc>
          <w:tcPr>
            <w:tcW w:w="1294" w:type="dxa"/>
            <w:tcBorders>
              <w:bottom w:val="single" w:color="000000" w:sz="4" w:space="0"/>
              <w:right w:val="single" w:color="000000" w:sz="4" w:space="0"/>
            </w:tcBorders>
            <w:vAlign w:val="center"/>
          </w:tcPr>
          <w:p w14:paraId="433211FC">
            <w:pPr>
              <w:autoSpaceDN w:val="0"/>
              <w:jc w:val="center"/>
              <w:textAlignment w:val="center"/>
              <w:rPr>
                <w:rFonts w:hint="default" w:ascii="宋体" w:hAnsi="宋体" w:eastAsiaTheme="minorEastAsia"/>
                <w:color w:val="auto"/>
                <w:sz w:val="20"/>
                <w:highlight w:val="none"/>
                <w:lang w:val="en-US" w:eastAsia="zh-CN"/>
              </w:rPr>
            </w:pPr>
            <w:r>
              <w:rPr>
                <w:rFonts w:ascii="宋体" w:hAnsi="宋体"/>
                <w:color w:val="auto"/>
                <w:sz w:val="20"/>
                <w:highlight w:val="none"/>
              </w:rPr>
              <w:t>≥</w:t>
            </w:r>
            <w:r>
              <w:rPr>
                <w:rFonts w:hint="eastAsia" w:ascii="宋体" w:hAnsi="宋体"/>
                <w:color w:val="auto"/>
                <w:sz w:val="20"/>
                <w:highlight w:val="none"/>
                <w:lang w:val="en-US" w:eastAsia="zh-CN"/>
              </w:rPr>
              <w:t>98%</w:t>
            </w:r>
          </w:p>
        </w:tc>
        <w:tc>
          <w:tcPr>
            <w:tcW w:w="2119" w:type="dxa"/>
            <w:tcBorders>
              <w:bottom w:val="single" w:color="000000" w:sz="4" w:space="0"/>
              <w:right w:val="single" w:color="000000" w:sz="4" w:space="0"/>
            </w:tcBorders>
            <w:vAlign w:val="center"/>
          </w:tcPr>
          <w:p w14:paraId="7112E950">
            <w:pPr>
              <w:autoSpaceDN w:val="0"/>
              <w:jc w:val="left"/>
              <w:textAlignment w:val="center"/>
              <w:rPr>
                <w:rFonts w:hint="default" w:ascii="宋体" w:hAnsi="宋体" w:eastAsiaTheme="minorEastAsia"/>
                <w:color w:val="auto"/>
                <w:sz w:val="20"/>
                <w:highlight w:val="none"/>
                <w:lang w:val="en-US" w:eastAsia="zh-CN"/>
              </w:rPr>
            </w:pPr>
            <w:r>
              <w:rPr>
                <w:rFonts w:hint="eastAsia" w:ascii="宋体" w:hAnsi="宋体"/>
                <w:color w:val="auto"/>
                <w:sz w:val="20"/>
                <w:highlight w:val="none"/>
                <w:lang w:eastAsia="zh-CN"/>
              </w:rPr>
              <w:t>（应转派工单量</w:t>
            </w:r>
            <w:r>
              <w:rPr>
                <w:rFonts w:hint="eastAsia" w:ascii="宋体" w:hAnsi="宋体"/>
                <w:color w:val="auto"/>
                <w:sz w:val="20"/>
                <w:highlight w:val="none"/>
                <w:lang w:val="en-US" w:eastAsia="zh-CN"/>
              </w:rPr>
              <w:t>-</w:t>
            </w:r>
            <w:r>
              <w:rPr>
                <w:rFonts w:hint="eastAsia" w:ascii="宋体" w:hAnsi="宋体"/>
                <w:color w:val="auto"/>
                <w:sz w:val="20"/>
                <w:highlight w:val="none"/>
                <w:lang w:eastAsia="zh-CN"/>
              </w:rPr>
              <w:t>转派差错工单量）</w:t>
            </w:r>
            <w:r>
              <w:rPr>
                <w:rFonts w:hint="eastAsia" w:ascii="宋体" w:hAnsi="宋体"/>
                <w:color w:val="auto"/>
                <w:sz w:val="20"/>
                <w:highlight w:val="none"/>
                <w:lang w:val="en-US" w:eastAsia="zh-CN"/>
              </w:rPr>
              <w:t>/应转派工单量*100%</w:t>
            </w:r>
          </w:p>
        </w:tc>
        <w:tc>
          <w:tcPr>
            <w:tcW w:w="2997" w:type="dxa"/>
            <w:tcBorders>
              <w:bottom w:val="single" w:color="000000" w:sz="4" w:space="0"/>
              <w:right w:val="single" w:color="000000" w:sz="4" w:space="0"/>
            </w:tcBorders>
            <w:vAlign w:val="center"/>
          </w:tcPr>
          <w:p w14:paraId="49F82D17">
            <w:pPr>
              <w:numPr>
                <w:ilvl w:val="0"/>
                <w:numId w:val="0"/>
              </w:numPr>
              <w:autoSpaceDN w:val="0"/>
              <w:jc w:val="left"/>
              <w:textAlignment w:val="center"/>
              <w:rPr>
                <w:rFonts w:hint="default" w:ascii="宋体" w:hAnsi="宋体"/>
                <w:color w:val="auto"/>
                <w:sz w:val="20"/>
                <w:highlight w:val="none"/>
                <w:lang w:val="en-US" w:eastAsia="zh-CN"/>
              </w:rPr>
            </w:pPr>
            <w:r>
              <w:rPr>
                <w:rFonts w:hint="eastAsia" w:ascii="宋体" w:hAnsi="宋体"/>
                <w:color w:val="auto"/>
                <w:sz w:val="20"/>
                <w:highlight w:val="none"/>
                <w:lang w:val="en-US" w:eastAsia="zh-CN"/>
              </w:rPr>
              <w:t>完成目标值得满分。低于目标值n个百分点，扣1*n分。因工单转派差错造成诉求升级的，每发生1宗扣3分。</w:t>
            </w:r>
          </w:p>
        </w:tc>
      </w:tr>
      <w:tr w14:paraId="6F8FB27A">
        <w:tblPrEx>
          <w:tblCellMar>
            <w:top w:w="0" w:type="dxa"/>
            <w:left w:w="108" w:type="dxa"/>
            <w:bottom w:w="0" w:type="dxa"/>
            <w:right w:w="108" w:type="dxa"/>
          </w:tblCellMar>
        </w:tblPrEx>
        <w:trPr>
          <w:trHeight w:val="1645" w:hRule="atLeast"/>
        </w:trPr>
        <w:tc>
          <w:tcPr>
            <w:tcW w:w="774" w:type="dxa"/>
            <w:vMerge w:val="continue"/>
            <w:tcBorders>
              <w:left w:val="single" w:color="000000" w:sz="4" w:space="0"/>
              <w:right w:val="single" w:color="000000" w:sz="4" w:space="0"/>
            </w:tcBorders>
            <w:vAlign w:val="center"/>
          </w:tcPr>
          <w:p w14:paraId="2DC1D20A">
            <w:pPr>
              <w:rPr>
                <w:color w:val="auto"/>
                <w:highlight w:val="none"/>
              </w:rPr>
            </w:pPr>
          </w:p>
        </w:tc>
        <w:tc>
          <w:tcPr>
            <w:tcW w:w="1132" w:type="dxa"/>
            <w:tcBorders>
              <w:bottom w:val="single" w:color="000000" w:sz="4" w:space="0"/>
            </w:tcBorders>
            <w:vAlign w:val="center"/>
          </w:tcPr>
          <w:p w14:paraId="3846E80E">
            <w:pPr>
              <w:autoSpaceDN w:val="0"/>
              <w:jc w:val="left"/>
              <w:textAlignment w:val="center"/>
              <w:rPr>
                <w:rFonts w:hint="default" w:ascii="宋体" w:hAnsi="宋体" w:eastAsiaTheme="minorEastAsia"/>
                <w:b/>
                <w:color w:val="auto"/>
                <w:sz w:val="20"/>
                <w:highlight w:val="none"/>
                <w:lang w:val="en-US" w:eastAsia="zh-CN"/>
              </w:rPr>
            </w:pPr>
            <w:r>
              <w:rPr>
                <w:rFonts w:hint="eastAsia" w:ascii="宋体" w:hAnsi="宋体"/>
                <w:b/>
                <w:color w:val="auto"/>
                <w:sz w:val="20"/>
                <w:highlight w:val="none"/>
                <w:lang w:eastAsia="zh-CN"/>
              </w:rPr>
              <w:t>敏感诉求工单</w:t>
            </w:r>
            <w:r>
              <w:rPr>
                <w:rFonts w:hint="eastAsia" w:ascii="宋体" w:hAnsi="宋体"/>
                <w:b/>
                <w:color w:val="auto"/>
                <w:sz w:val="20"/>
                <w:highlight w:val="none"/>
                <w:lang w:val="en-US" w:eastAsia="zh-CN"/>
              </w:rPr>
              <w:t>漏</w:t>
            </w:r>
            <w:r>
              <w:rPr>
                <w:rFonts w:hint="eastAsia" w:ascii="宋体" w:hAnsi="宋体"/>
                <w:b/>
                <w:color w:val="auto"/>
                <w:sz w:val="20"/>
                <w:highlight w:val="none"/>
                <w:lang w:eastAsia="zh-CN"/>
              </w:rPr>
              <w:t>报</w:t>
            </w:r>
            <w:r>
              <w:rPr>
                <w:rFonts w:hint="eastAsia" w:ascii="宋体" w:hAnsi="宋体"/>
                <w:b/>
                <w:color w:val="auto"/>
                <w:sz w:val="20"/>
                <w:highlight w:val="none"/>
                <w:lang w:val="en-US" w:eastAsia="zh-CN"/>
              </w:rPr>
              <w:t>数</w:t>
            </w:r>
          </w:p>
        </w:tc>
        <w:tc>
          <w:tcPr>
            <w:tcW w:w="735" w:type="dxa"/>
            <w:tcBorders>
              <w:left w:val="single" w:color="000000" w:sz="4" w:space="0"/>
              <w:bottom w:val="single" w:color="000000" w:sz="4" w:space="0"/>
              <w:right w:val="single" w:color="000000" w:sz="4" w:space="0"/>
            </w:tcBorders>
            <w:vAlign w:val="center"/>
          </w:tcPr>
          <w:p w14:paraId="34A74B88">
            <w:pPr>
              <w:autoSpaceDN w:val="0"/>
              <w:jc w:val="center"/>
              <w:textAlignment w:val="center"/>
              <w:rPr>
                <w:rFonts w:hint="default" w:ascii="宋体" w:hAnsi="宋体" w:eastAsiaTheme="minorEastAsia"/>
                <w:color w:val="auto"/>
                <w:sz w:val="20"/>
                <w:highlight w:val="none"/>
                <w:lang w:val="en-US" w:eastAsia="zh-CN"/>
              </w:rPr>
            </w:pPr>
            <w:r>
              <w:rPr>
                <w:rFonts w:hint="eastAsia" w:ascii="宋体" w:hAnsi="宋体"/>
                <w:color w:val="auto"/>
                <w:sz w:val="20"/>
                <w:highlight w:val="none"/>
                <w:lang w:val="en-US" w:eastAsia="zh-CN"/>
              </w:rPr>
              <w:t>15</w:t>
            </w:r>
          </w:p>
        </w:tc>
        <w:tc>
          <w:tcPr>
            <w:tcW w:w="1294" w:type="dxa"/>
            <w:tcBorders>
              <w:bottom w:val="single" w:color="000000" w:sz="4" w:space="0"/>
              <w:right w:val="single" w:color="000000" w:sz="4" w:space="0"/>
            </w:tcBorders>
            <w:vAlign w:val="center"/>
          </w:tcPr>
          <w:p w14:paraId="7342CE8A">
            <w:pPr>
              <w:autoSpaceDN w:val="0"/>
              <w:jc w:val="center"/>
              <w:textAlignment w:val="center"/>
              <w:rPr>
                <w:rFonts w:hint="default" w:ascii="宋体" w:hAnsi="宋体" w:eastAsiaTheme="minorEastAsia"/>
                <w:color w:val="auto"/>
                <w:sz w:val="20"/>
                <w:highlight w:val="none"/>
                <w:lang w:val="en-US" w:eastAsia="zh-CN"/>
              </w:rPr>
            </w:pPr>
            <w:r>
              <w:rPr>
                <w:rFonts w:hint="eastAsia" w:ascii="宋体" w:hAnsi="宋体"/>
                <w:color w:val="auto"/>
                <w:sz w:val="20"/>
                <w:highlight w:val="none"/>
                <w:lang w:val="en-US" w:eastAsia="zh-CN"/>
              </w:rPr>
              <w:t>0</w:t>
            </w:r>
          </w:p>
        </w:tc>
        <w:tc>
          <w:tcPr>
            <w:tcW w:w="2119" w:type="dxa"/>
            <w:tcBorders>
              <w:bottom w:val="single" w:color="000000" w:sz="4" w:space="0"/>
              <w:right w:val="single" w:color="000000" w:sz="4" w:space="0"/>
            </w:tcBorders>
            <w:vAlign w:val="center"/>
          </w:tcPr>
          <w:p w14:paraId="3F2472A8">
            <w:pPr>
              <w:autoSpaceDN w:val="0"/>
              <w:jc w:val="left"/>
              <w:textAlignment w:val="center"/>
              <w:rPr>
                <w:rFonts w:hint="eastAsia" w:ascii="宋体" w:hAnsi="宋体" w:eastAsiaTheme="minorEastAsia"/>
                <w:color w:val="auto"/>
                <w:sz w:val="20"/>
                <w:highlight w:val="none"/>
                <w:lang w:eastAsia="zh-CN"/>
              </w:rPr>
            </w:pPr>
            <w:r>
              <w:rPr>
                <w:rFonts w:hint="eastAsia" w:ascii="宋体" w:hAnsi="宋体"/>
                <w:color w:val="auto"/>
                <w:sz w:val="20"/>
                <w:highlight w:val="none"/>
                <w:lang w:val="en-US" w:eastAsia="zh-CN"/>
              </w:rPr>
              <w:t>不发生漏报</w:t>
            </w:r>
            <w:r>
              <w:rPr>
                <w:rFonts w:hint="eastAsia" w:ascii="宋体" w:hAnsi="宋体"/>
                <w:color w:val="auto"/>
                <w:sz w:val="20"/>
                <w:highlight w:val="none"/>
                <w:lang w:eastAsia="zh-CN"/>
              </w:rPr>
              <w:t>各渠道受理的敏感诉求工单</w:t>
            </w:r>
          </w:p>
        </w:tc>
        <w:tc>
          <w:tcPr>
            <w:tcW w:w="2997" w:type="dxa"/>
            <w:tcBorders>
              <w:bottom w:val="single" w:color="000000" w:sz="4" w:space="0"/>
              <w:right w:val="single" w:color="000000" w:sz="4" w:space="0"/>
            </w:tcBorders>
            <w:vAlign w:val="center"/>
          </w:tcPr>
          <w:p w14:paraId="34FE8FF5">
            <w:pPr>
              <w:autoSpaceDN w:val="0"/>
              <w:jc w:val="left"/>
              <w:textAlignment w:val="center"/>
              <w:rPr>
                <w:rFonts w:hint="default" w:ascii="宋体" w:hAnsi="宋体" w:eastAsiaTheme="minorEastAsia"/>
                <w:color w:val="auto"/>
                <w:sz w:val="20"/>
                <w:highlight w:val="none"/>
                <w:lang w:val="en-US" w:eastAsia="zh-CN"/>
              </w:rPr>
            </w:pPr>
            <w:r>
              <w:rPr>
                <w:rFonts w:hint="eastAsia" w:ascii="宋体" w:hAnsi="宋体"/>
                <w:color w:val="auto"/>
                <w:sz w:val="20"/>
                <w:highlight w:val="none"/>
                <w:lang w:val="en-US" w:eastAsia="zh-CN"/>
              </w:rPr>
              <w:t>每漏报1宗扣3分。</w:t>
            </w:r>
          </w:p>
        </w:tc>
      </w:tr>
      <w:tr w14:paraId="2CAE4071">
        <w:tblPrEx>
          <w:tblCellMar>
            <w:top w:w="0" w:type="dxa"/>
            <w:left w:w="108" w:type="dxa"/>
            <w:bottom w:w="0" w:type="dxa"/>
            <w:right w:w="108" w:type="dxa"/>
          </w:tblCellMar>
        </w:tblPrEx>
        <w:trPr>
          <w:trHeight w:val="960" w:hRule="atLeast"/>
        </w:trPr>
        <w:tc>
          <w:tcPr>
            <w:tcW w:w="774" w:type="dxa"/>
            <w:vMerge w:val="continue"/>
            <w:tcBorders>
              <w:left w:val="single" w:color="000000" w:sz="4" w:space="0"/>
              <w:right w:val="single" w:color="000000" w:sz="4" w:space="0"/>
            </w:tcBorders>
            <w:vAlign w:val="center"/>
          </w:tcPr>
          <w:p w14:paraId="4C2A6B3D">
            <w:pPr>
              <w:rPr>
                <w:color w:val="auto"/>
                <w:highlight w:val="none"/>
              </w:rPr>
            </w:pPr>
          </w:p>
        </w:tc>
        <w:tc>
          <w:tcPr>
            <w:tcW w:w="1132" w:type="dxa"/>
            <w:tcBorders>
              <w:bottom w:val="single" w:color="000000" w:sz="4" w:space="0"/>
            </w:tcBorders>
            <w:vAlign w:val="center"/>
          </w:tcPr>
          <w:p w14:paraId="1F3FC440">
            <w:pPr>
              <w:autoSpaceDN w:val="0"/>
              <w:jc w:val="left"/>
              <w:textAlignment w:val="center"/>
              <w:rPr>
                <w:rFonts w:hint="eastAsia" w:ascii="宋体" w:hAnsi="宋体" w:eastAsiaTheme="minorEastAsia"/>
                <w:b/>
                <w:color w:val="auto"/>
                <w:sz w:val="20"/>
                <w:highlight w:val="none"/>
                <w:lang w:val="en-US" w:eastAsia="zh-CN"/>
              </w:rPr>
            </w:pPr>
            <w:r>
              <w:rPr>
                <w:rFonts w:ascii="宋体" w:hAnsi="宋体"/>
                <w:b/>
                <w:color w:val="auto"/>
                <w:sz w:val="20"/>
                <w:highlight w:val="none"/>
              </w:rPr>
              <w:t>客户投诉</w:t>
            </w:r>
            <w:r>
              <w:rPr>
                <w:rFonts w:hint="eastAsia" w:ascii="宋体" w:hAnsi="宋体"/>
                <w:b/>
                <w:color w:val="auto"/>
                <w:sz w:val="20"/>
                <w:highlight w:val="none"/>
                <w:lang w:val="en-US" w:eastAsia="zh-CN"/>
              </w:rPr>
              <w:t>数</w:t>
            </w:r>
          </w:p>
        </w:tc>
        <w:tc>
          <w:tcPr>
            <w:tcW w:w="735" w:type="dxa"/>
            <w:tcBorders>
              <w:left w:val="single" w:color="000000" w:sz="4" w:space="0"/>
              <w:bottom w:val="single" w:color="000000" w:sz="4" w:space="0"/>
              <w:right w:val="single" w:color="000000" w:sz="4" w:space="0"/>
            </w:tcBorders>
            <w:vAlign w:val="center"/>
          </w:tcPr>
          <w:p w14:paraId="68708DA6">
            <w:pPr>
              <w:autoSpaceDN w:val="0"/>
              <w:jc w:val="center"/>
              <w:textAlignment w:val="center"/>
              <w:rPr>
                <w:rFonts w:hint="default" w:ascii="宋体" w:hAnsi="宋体" w:eastAsiaTheme="minorEastAsia"/>
                <w:color w:val="auto"/>
                <w:sz w:val="20"/>
                <w:highlight w:val="none"/>
                <w:lang w:val="en-US" w:eastAsia="zh-CN"/>
              </w:rPr>
            </w:pPr>
            <w:r>
              <w:rPr>
                <w:rFonts w:hint="eastAsia" w:ascii="宋体" w:hAnsi="宋体"/>
                <w:color w:val="auto"/>
                <w:sz w:val="20"/>
                <w:highlight w:val="none"/>
                <w:lang w:val="en-US" w:eastAsia="zh-CN"/>
              </w:rPr>
              <w:t>10</w:t>
            </w:r>
          </w:p>
        </w:tc>
        <w:tc>
          <w:tcPr>
            <w:tcW w:w="1294" w:type="dxa"/>
            <w:tcBorders>
              <w:bottom w:val="single" w:color="000000" w:sz="4" w:space="0"/>
              <w:right w:val="single" w:color="000000" w:sz="4" w:space="0"/>
            </w:tcBorders>
            <w:vAlign w:val="center"/>
          </w:tcPr>
          <w:p w14:paraId="18601579">
            <w:pPr>
              <w:autoSpaceDN w:val="0"/>
              <w:jc w:val="center"/>
              <w:textAlignment w:val="center"/>
              <w:rPr>
                <w:rFonts w:hint="eastAsia" w:ascii="宋体" w:hAnsi="宋体" w:eastAsiaTheme="minorEastAsia"/>
                <w:color w:val="auto"/>
                <w:sz w:val="20"/>
                <w:highlight w:val="none"/>
                <w:lang w:eastAsia="zh-CN"/>
              </w:rPr>
            </w:pPr>
            <w:r>
              <w:rPr>
                <w:rFonts w:hint="eastAsia" w:ascii="宋体" w:hAnsi="宋体"/>
                <w:color w:val="auto"/>
                <w:sz w:val="20"/>
                <w:highlight w:val="none"/>
                <w:lang w:val="en-US" w:eastAsia="zh-CN"/>
              </w:rPr>
              <w:t>0</w:t>
            </w:r>
          </w:p>
        </w:tc>
        <w:tc>
          <w:tcPr>
            <w:tcW w:w="2119" w:type="dxa"/>
            <w:tcBorders>
              <w:bottom w:val="single" w:color="000000" w:sz="4" w:space="0"/>
              <w:right w:val="single" w:color="000000" w:sz="4" w:space="0"/>
            </w:tcBorders>
            <w:vAlign w:val="center"/>
          </w:tcPr>
          <w:p w14:paraId="3D3391C8">
            <w:pPr>
              <w:autoSpaceDN w:val="0"/>
              <w:jc w:val="left"/>
              <w:textAlignment w:val="center"/>
              <w:rPr>
                <w:rFonts w:ascii="宋体" w:hAnsi="宋体"/>
                <w:color w:val="auto"/>
                <w:sz w:val="20"/>
                <w:highlight w:val="none"/>
              </w:rPr>
            </w:pPr>
            <w:r>
              <w:rPr>
                <w:rFonts w:ascii="宋体" w:hAnsi="宋体"/>
                <w:color w:val="auto"/>
                <w:sz w:val="20"/>
                <w:highlight w:val="none"/>
              </w:rPr>
              <w:t>不发生</w:t>
            </w:r>
            <w:r>
              <w:rPr>
                <w:rFonts w:hint="eastAsia" w:ascii="宋体" w:hAnsi="宋体"/>
                <w:color w:val="auto"/>
                <w:sz w:val="20"/>
                <w:highlight w:val="none"/>
                <w:lang w:eastAsia="zh-CN"/>
              </w:rPr>
              <w:t>服务人</w:t>
            </w:r>
            <w:r>
              <w:rPr>
                <w:rFonts w:ascii="宋体" w:hAnsi="宋体"/>
                <w:color w:val="auto"/>
                <w:sz w:val="20"/>
                <w:highlight w:val="none"/>
              </w:rPr>
              <w:t>员服务引起的客户投诉</w:t>
            </w:r>
          </w:p>
        </w:tc>
        <w:tc>
          <w:tcPr>
            <w:tcW w:w="2997" w:type="dxa"/>
            <w:tcBorders>
              <w:bottom w:val="single" w:color="000000" w:sz="4" w:space="0"/>
              <w:right w:val="single" w:color="000000" w:sz="4" w:space="0"/>
            </w:tcBorders>
            <w:vAlign w:val="center"/>
          </w:tcPr>
          <w:p w14:paraId="053D017E">
            <w:pPr>
              <w:autoSpaceDN w:val="0"/>
              <w:jc w:val="left"/>
              <w:textAlignment w:val="center"/>
              <w:rPr>
                <w:rFonts w:ascii="宋体" w:hAnsi="宋体"/>
                <w:color w:val="auto"/>
                <w:sz w:val="20"/>
                <w:highlight w:val="none"/>
              </w:rPr>
            </w:pPr>
            <w:r>
              <w:rPr>
                <w:rFonts w:ascii="宋体" w:hAnsi="宋体"/>
                <w:color w:val="auto"/>
                <w:sz w:val="20"/>
                <w:highlight w:val="none"/>
              </w:rPr>
              <w:t>每</w:t>
            </w:r>
            <w:r>
              <w:rPr>
                <w:rFonts w:hint="eastAsia" w:ascii="宋体" w:hAnsi="宋体"/>
                <w:color w:val="auto"/>
                <w:sz w:val="20"/>
                <w:highlight w:val="none"/>
                <w:lang w:val="en-US" w:eastAsia="zh-CN"/>
              </w:rPr>
              <w:t>发生</w:t>
            </w:r>
            <w:r>
              <w:rPr>
                <w:rFonts w:ascii="宋体" w:hAnsi="宋体"/>
                <w:color w:val="auto"/>
                <w:sz w:val="20"/>
                <w:highlight w:val="none"/>
              </w:rPr>
              <w:t>1宗业务类有效投诉扣</w:t>
            </w:r>
            <w:r>
              <w:rPr>
                <w:rFonts w:hint="eastAsia" w:ascii="宋体" w:hAnsi="宋体"/>
                <w:color w:val="auto"/>
                <w:sz w:val="20"/>
                <w:highlight w:val="none"/>
                <w:lang w:val="en-US" w:eastAsia="zh-CN"/>
              </w:rPr>
              <w:t>2</w:t>
            </w:r>
            <w:r>
              <w:rPr>
                <w:rFonts w:ascii="宋体" w:hAnsi="宋体"/>
                <w:color w:val="auto"/>
                <w:sz w:val="20"/>
                <w:highlight w:val="none"/>
              </w:rPr>
              <w:t>分，每</w:t>
            </w:r>
            <w:r>
              <w:rPr>
                <w:rFonts w:hint="eastAsia" w:ascii="宋体" w:hAnsi="宋体"/>
                <w:color w:val="auto"/>
                <w:sz w:val="20"/>
                <w:highlight w:val="none"/>
                <w:lang w:val="en-US" w:eastAsia="zh-CN"/>
              </w:rPr>
              <w:t>发生</w:t>
            </w:r>
            <w:r>
              <w:rPr>
                <w:rFonts w:ascii="宋体" w:hAnsi="宋体"/>
                <w:color w:val="auto"/>
                <w:sz w:val="20"/>
                <w:highlight w:val="none"/>
              </w:rPr>
              <w:t>1宗服务态度</w:t>
            </w:r>
            <w:r>
              <w:rPr>
                <w:rFonts w:hint="eastAsia" w:ascii="宋体" w:hAnsi="宋体"/>
                <w:color w:val="auto"/>
                <w:sz w:val="20"/>
                <w:highlight w:val="none"/>
                <w:lang w:val="en-US" w:eastAsia="zh-CN"/>
              </w:rPr>
              <w:t>类</w:t>
            </w:r>
            <w:r>
              <w:rPr>
                <w:rFonts w:ascii="宋体" w:hAnsi="宋体"/>
                <w:color w:val="auto"/>
                <w:sz w:val="20"/>
                <w:highlight w:val="none"/>
              </w:rPr>
              <w:t>有效投诉扣</w:t>
            </w:r>
            <w:r>
              <w:rPr>
                <w:rFonts w:hint="eastAsia" w:ascii="宋体" w:hAnsi="宋体"/>
                <w:color w:val="auto"/>
                <w:sz w:val="20"/>
                <w:highlight w:val="none"/>
                <w:lang w:val="en-US" w:eastAsia="zh-CN"/>
              </w:rPr>
              <w:t>3</w:t>
            </w:r>
            <w:r>
              <w:rPr>
                <w:rFonts w:ascii="宋体" w:hAnsi="宋体"/>
                <w:color w:val="auto"/>
                <w:sz w:val="20"/>
                <w:highlight w:val="none"/>
              </w:rPr>
              <w:t>分。</w:t>
            </w:r>
          </w:p>
        </w:tc>
      </w:tr>
      <w:tr w14:paraId="6DBF11D0">
        <w:tblPrEx>
          <w:tblCellMar>
            <w:top w:w="0" w:type="dxa"/>
            <w:left w:w="108" w:type="dxa"/>
            <w:bottom w:w="0" w:type="dxa"/>
            <w:right w:w="108" w:type="dxa"/>
          </w:tblCellMar>
        </w:tblPrEx>
        <w:trPr>
          <w:trHeight w:val="960" w:hRule="atLeast"/>
        </w:trPr>
        <w:tc>
          <w:tcPr>
            <w:tcW w:w="774" w:type="dxa"/>
            <w:vMerge w:val="continue"/>
            <w:tcBorders>
              <w:left w:val="single" w:color="000000" w:sz="4" w:space="0"/>
              <w:bottom w:val="single" w:color="000000" w:sz="4" w:space="0"/>
              <w:right w:val="single" w:color="000000" w:sz="4" w:space="0"/>
            </w:tcBorders>
            <w:vAlign w:val="center"/>
          </w:tcPr>
          <w:p w14:paraId="377FC529">
            <w:pPr>
              <w:rPr>
                <w:color w:val="auto"/>
                <w:highlight w:val="none"/>
              </w:rPr>
            </w:pPr>
          </w:p>
        </w:tc>
        <w:tc>
          <w:tcPr>
            <w:tcW w:w="1132" w:type="dxa"/>
            <w:tcBorders>
              <w:bottom w:val="single" w:color="000000" w:sz="4" w:space="0"/>
            </w:tcBorders>
            <w:vAlign w:val="center"/>
          </w:tcPr>
          <w:p w14:paraId="1F86BCED">
            <w:pPr>
              <w:autoSpaceDN w:val="0"/>
              <w:jc w:val="left"/>
              <w:textAlignment w:val="center"/>
              <w:rPr>
                <w:rFonts w:hint="default" w:ascii="宋体" w:hAnsi="宋体" w:eastAsiaTheme="minorEastAsia" w:cstheme="minorBidi"/>
                <w:b/>
                <w:color w:val="auto"/>
                <w:kern w:val="2"/>
                <w:sz w:val="20"/>
                <w:szCs w:val="24"/>
                <w:highlight w:val="none"/>
                <w:lang w:val="en-US" w:eastAsia="zh-CN" w:bidi="ar-SA"/>
              </w:rPr>
            </w:pPr>
            <w:r>
              <w:rPr>
                <w:rFonts w:hint="eastAsia" w:ascii="宋体" w:hAnsi="宋体"/>
                <w:b/>
                <w:color w:val="auto"/>
                <w:sz w:val="20"/>
                <w:highlight w:val="none"/>
                <w:lang w:eastAsia="zh-CN"/>
              </w:rPr>
              <w:t>月考</w:t>
            </w:r>
            <w:r>
              <w:rPr>
                <w:rFonts w:hint="eastAsia" w:ascii="宋体" w:hAnsi="宋体"/>
                <w:b/>
                <w:color w:val="auto"/>
                <w:sz w:val="20"/>
                <w:highlight w:val="none"/>
                <w:lang w:val="en-US" w:eastAsia="zh-CN"/>
              </w:rPr>
              <w:t>合格率</w:t>
            </w:r>
          </w:p>
        </w:tc>
        <w:tc>
          <w:tcPr>
            <w:tcW w:w="735" w:type="dxa"/>
            <w:tcBorders>
              <w:left w:val="single" w:color="000000" w:sz="4" w:space="0"/>
              <w:bottom w:val="single" w:color="000000" w:sz="4" w:space="0"/>
              <w:right w:val="single" w:color="000000" w:sz="4" w:space="0"/>
            </w:tcBorders>
            <w:vAlign w:val="center"/>
          </w:tcPr>
          <w:p w14:paraId="0AD97AD1">
            <w:pPr>
              <w:autoSpaceDN w:val="0"/>
              <w:jc w:val="center"/>
              <w:textAlignment w:val="center"/>
              <w:rPr>
                <w:rFonts w:hint="eastAsia" w:ascii="宋体" w:hAnsi="宋体" w:eastAsiaTheme="minorEastAsia" w:cstheme="minorBidi"/>
                <w:color w:val="auto"/>
                <w:kern w:val="2"/>
                <w:sz w:val="20"/>
                <w:szCs w:val="24"/>
                <w:highlight w:val="none"/>
                <w:lang w:val="en-US" w:eastAsia="zh-CN" w:bidi="ar-SA"/>
              </w:rPr>
            </w:pPr>
            <w:r>
              <w:rPr>
                <w:rFonts w:hint="eastAsia" w:ascii="宋体" w:hAnsi="宋体"/>
                <w:color w:val="auto"/>
                <w:sz w:val="20"/>
                <w:highlight w:val="none"/>
                <w:lang w:val="en-US" w:eastAsia="zh-CN"/>
              </w:rPr>
              <w:t>5</w:t>
            </w:r>
          </w:p>
        </w:tc>
        <w:tc>
          <w:tcPr>
            <w:tcW w:w="1294" w:type="dxa"/>
            <w:tcBorders>
              <w:bottom w:val="single" w:color="000000" w:sz="4" w:space="0"/>
              <w:right w:val="single" w:color="000000" w:sz="4" w:space="0"/>
            </w:tcBorders>
            <w:vAlign w:val="center"/>
          </w:tcPr>
          <w:p w14:paraId="1B59379B">
            <w:pPr>
              <w:autoSpaceDN w:val="0"/>
              <w:jc w:val="center"/>
              <w:textAlignment w:val="center"/>
              <w:rPr>
                <w:rFonts w:hint="default" w:ascii="宋体" w:hAnsi="宋体" w:eastAsiaTheme="minorEastAsia" w:cstheme="minorBidi"/>
                <w:color w:val="auto"/>
                <w:kern w:val="2"/>
                <w:sz w:val="20"/>
                <w:szCs w:val="24"/>
                <w:highlight w:val="none"/>
                <w:lang w:val="en-US" w:eastAsia="zh-CN" w:bidi="ar-SA"/>
              </w:rPr>
            </w:pPr>
            <w:r>
              <w:rPr>
                <w:rFonts w:hint="eastAsia" w:ascii="宋体" w:hAnsi="宋体"/>
                <w:color w:val="auto"/>
                <w:sz w:val="20"/>
                <w:highlight w:val="none"/>
                <w:lang w:val="en-US" w:eastAsia="zh-CN"/>
              </w:rPr>
              <w:t>100%</w:t>
            </w:r>
          </w:p>
        </w:tc>
        <w:tc>
          <w:tcPr>
            <w:tcW w:w="2119" w:type="dxa"/>
            <w:tcBorders>
              <w:bottom w:val="single" w:color="000000" w:sz="4" w:space="0"/>
              <w:right w:val="single" w:color="000000" w:sz="4" w:space="0"/>
            </w:tcBorders>
            <w:vAlign w:val="center"/>
          </w:tcPr>
          <w:p w14:paraId="61321E95">
            <w:pPr>
              <w:autoSpaceDN w:val="0"/>
              <w:jc w:val="left"/>
              <w:textAlignment w:val="center"/>
              <w:rPr>
                <w:rFonts w:hint="eastAsia" w:ascii="宋体" w:hAnsi="宋体" w:eastAsiaTheme="minorEastAsia"/>
                <w:color w:val="auto"/>
                <w:sz w:val="20"/>
                <w:highlight w:val="none"/>
                <w:lang w:eastAsia="zh-CN"/>
              </w:rPr>
            </w:pPr>
            <w:r>
              <w:rPr>
                <w:rFonts w:hint="eastAsia" w:ascii="宋体" w:hAnsi="宋体"/>
                <w:color w:val="auto"/>
                <w:sz w:val="20"/>
                <w:highlight w:val="none"/>
                <w:lang w:val="en-US" w:eastAsia="zh-CN"/>
              </w:rPr>
              <w:t>月考得分85分及以上人数/月考总人数</w:t>
            </w:r>
            <w:r>
              <w:rPr>
                <w:rFonts w:ascii="宋体" w:hAnsi="宋体"/>
                <w:color w:val="auto"/>
                <w:sz w:val="20"/>
                <w:highlight w:val="none"/>
              </w:rPr>
              <w:t>*100%</w:t>
            </w:r>
          </w:p>
        </w:tc>
        <w:tc>
          <w:tcPr>
            <w:tcW w:w="2997" w:type="dxa"/>
            <w:tcBorders>
              <w:bottom w:val="single" w:color="000000" w:sz="4" w:space="0"/>
              <w:right w:val="single" w:color="000000" w:sz="4" w:space="0"/>
            </w:tcBorders>
            <w:vAlign w:val="center"/>
          </w:tcPr>
          <w:p w14:paraId="25959FFB">
            <w:pPr>
              <w:autoSpaceDN w:val="0"/>
              <w:jc w:val="left"/>
              <w:textAlignment w:val="center"/>
              <w:rPr>
                <w:rFonts w:ascii="宋体" w:hAnsi="宋体"/>
                <w:color w:val="auto"/>
                <w:sz w:val="20"/>
                <w:highlight w:val="none"/>
              </w:rPr>
            </w:pPr>
            <w:r>
              <w:rPr>
                <w:rFonts w:hint="eastAsia" w:ascii="宋体" w:hAnsi="宋体"/>
                <w:color w:val="auto"/>
                <w:sz w:val="20"/>
                <w:highlight w:val="none"/>
                <w:lang w:val="en-US" w:eastAsia="zh-CN"/>
              </w:rPr>
              <w:t>完成目标值</w:t>
            </w:r>
            <w:r>
              <w:rPr>
                <w:rFonts w:hint="default" w:ascii="宋体" w:hAnsi="宋体"/>
                <w:color w:val="auto"/>
                <w:sz w:val="20"/>
                <w:highlight w:val="none"/>
                <w:lang w:eastAsia="zh-CN"/>
              </w:rPr>
              <w:t>得</w:t>
            </w:r>
            <w:r>
              <w:rPr>
                <w:rFonts w:hint="eastAsia" w:ascii="宋体" w:hAnsi="宋体"/>
                <w:color w:val="auto"/>
                <w:sz w:val="20"/>
                <w:highlight w:val="none"/>
                <w:lang w:val="en-US" w:eastAsia="zh-CN"/>
              </w:rPr>
              <w:t>满分。</w:t>
            </w:r>
            <w:r>
              <w:rPr>
                <w:rFonts w:hint="eastAsia" w:ascii="宋体" w:hAnsi="宋体" w:eastAsia="宋体" w:cs="宋体"/>
                <w:color w:val="auto"/>
                <w:sz w:val="20"/>
                <w:highlight w:val="none"/>
                <w:lang w:val="en-US" w:eastAsia="zh-CN"/>
              </w:rPr>
              <w:t>85分</w:t>
            </w:r>
            <w:r>
              <w:rPr>
                <w:rFonts w:hint="eastAsia" w:ascii="宋体" w:hAnsi="宋体" w:eastAsia="宋体" w:cs="宋体"/>
                <w:color w:val="auto"/>
                <w:sz w:val="20"/>
                <w:highlight w:val="none"/>
                <w:lang w:eastAsia="zh-CN"/>
              </w:rPr>
              <w:t>＞</w:t>
            </w:r>
            <w:r>
              <w:rPr>
                <w:rFonts w:hint="eastAsia" w:ascii="宋体" w:hAnsi="宋体"/>
                <w:color w:val="auto"/>
                <w:sz w:val="20"/>
                <w:highlight w:val="none"/>
                <w:lang w:eastAsia="zh-CN"/>
              </w:rPr>
              <w:t>月考得分</w:t>
            </w:r>
            <w:r>
              <w:rPr>
                <w:rFonts w:ascii="宋体" w:hAnsi="宋体"/>
                <w:color w:val="auto"/>
                <w:sz w:val="20"/>
                <w:highlight w:val="none"/>
              </w:rPr>
              <w:t>≥</w:t>
            </w:r>
            <w:r>
              <w:rPr>
                <w:rFonts w:hint="eastAsia" w:ascii="宋体" w:hAnsi="宋体"/>
                <w:color w:val="auto"/>
                <w:sz w:val="20"/>
                <w:highlight w:val="none"/>
                <w:lang w:val="en-US" w:eastAsia="zh-CN"/>
              </w:rPr>
              <w:t>70分</w:t>
            </w:r>
            <w:r>
              <w:rPr>
                <w:rFonts w:hint="eastAsia" w:ascii="宋体" w:hAnsi="宋体"/>
                <w:color w:val="auto"/>
                <w:sz w:val="20"/>
                <w:highlight w:val="none"/>
                <w:lang w:eastAsia="zh-CN"/>
              </w:rPr>
              <w:t>的</w:t>
            </w:r>
            <w:r>
              <w:rPr>
                <w:rFonts w:hint="eastAsia" w:ascii="宋体" w:hAnsi="宋体" w:eastAsiaTheme="minorEastAsia"/>
                <w:color w:val="auto"/>
                <w:sz w:val="20"/>
                <w:highlight w:val="none"/>
                <w:lang w:eastAsia="zh-CN"/>
              </w:rPr>
              <w:t>每</w:t>
            </w:r>
            <w:r>
              <w:rPr>
                <w:rFonts w:hint="eastAsia" w:ascii="宋体" w:hAnsi="宋体"/>
                <w:color w:val="auto"/>
                <w:sz w:val="20"/>
                <w:highlight w:val="none"/>
                <w:lang w:val="en-US" w:eastAsia="zh-CN"/>
              </w:rPr>
              <w:t>1</w:t>
            </w:r>
            <w:r>
              <w:rPr>
                <w:rFonts w:hint="eastAsia" w:ascii="宋体" w:hAnsi="宋体" w:eastAsiaTheme="minorEastAsia"/>
                <w:color w:val="auto"/>
                <w:sz w:val="20"/>
                <w:highlight w:val="none"/>
                <w:lang w:eastAsia="zh-CN"/>
              </w:rPr>
              <w:t>人扣1分，</w:t>
            </w:r>
            <w:r>
              <w:rPr>
                <w:rFonts w:hint="eastAsia" w:ascii="宋体" w:hAnsi="宋体"/>
                <w:color w:val="auto"/>
                <w:sz w:val="20"/>
                <w:highlight w:val="none"/>
                <w:lang w:eastAsia="zh-CN"/>
              </w:rPr>
              <w:t>月考得分</w:t>
            </w:r>
            <w:r>
              <w:rPr>
                <w:rFonts w:hint="eastAsia" w:ascii="宋体" w:hAnsi="宋体" w:eastAsia="宋体" w:cs="宋体"/>
                <w:color w:val="auto"/>
                <w:sz w:val="20"/>
                <w:highlight w:val="none"/>
                <w:lang w:eastAsia="zh-CN"/>
              </w:rPr>
              <w:t>＜</w:t>
            </w:r>
            <w:r>
              <w:rPr>
                <w:rFonts w:hint="eastAsia" w:ascii="宋体" w:hAnsi="宋体" w:eastAsiaTheme="minorEastAsia"/>
                <w:color w:val="auto"/>
                <w:sz w:val="20"/>
                <w:highlight w:val="none"/>
                <w:lang w:eastAsia="zh-CN"/>
              </w:rPr>
              <w:t>70</w:t>
            </w:r>
            <w:r>
              <w:rPr>
                <w:rFonts w:hint="eastAsia" w:ascii="宋体" w:hAnsi="宋体"/>
                <w:color w:val="auto"/>
                <w:sz w:val="20"/>
                <w:highlight w:val="none"/>
                <w:lang w:eastAsia="zh-CN"/>
              </w:rPr>
              <w:t>分的</w:t>
            </w:r>
            <w:r>
              <w:rPr>
                <w:rFonts w:hint="eastAsia" w:ascii="宋体" w:hAnsi="宋体" w:eastAsiaTheme="minorEastAsia"/>
                <w:color w:val="auto"/>
                <w:sz w:val="20"/>
                <w:highlight w:val="none"/>
                <w:lang w:eastAsia="zh-CN"/>
              </w:rPr>
              <w:t>每</w:t>
            </w:r>
            <w:r>
              <w:rPr>
                <w:rFonts w:hint="eastAsia" w:ascii="宋体" w:hAnsi="宋体"/>
                <w:color w:val="auto"/>
                <w:sz w:val="20"/>
                <w:highlight w:val="none"/>
                <w:lang w:val="en-US" w:eastAsia="zh-CN"/>
              </w:rPr>
              <w:t>1</w:t>
            </w:r>
            <w:r>
              <w:rPr>
                <w:rFonts w:hint="eastAsia" w:ascii="宋体" w:hAnsi="宋体" w:eastAsiaTheme="minorEastAsia"/>
                <w:color w:val="auto"/>
                <w:sz w:val="20"/>
                <w:highlight w:val="none"/>
                <w:lang w:eastAsia="zh-CN"/>
              </w:rPr>
              <w:t>人扣2分</w:t>
            </w:r>
            <w:r>
              <w:rPr>
                <w:rFonts w:hint="eastAsia" w:ascii="宋体" w:hAnsi="宋体"/>
                <w:color w:val="auto"/>
                <w:sz w:val="20"/>
                <w:highlight w:val="none"/>
                <w:lang w:eastAsia="zh-CN"/>
              </w:rPr>
              <w:t>。</w:t>
            </w:r>
          </w:p>
        </w:tc>
      </w:tr>
      <w:tr w14:paraId="6BDA607A">
        <w:tblPrEx>
          <w:tblCellMar>
            <w:top w:w="0" w:type="dxa"/>
            <w:left w:w="108" w:type="dxa"/>
            <w:bottom w:w="0" w:type="dxa"/>
            <w:right w:w="108" w:type="dxa"/>
          </w:tblCellMar>
        </w:tblPrEx>
        <w:trPr>
          <w:trHeight w:val="960" w:hRule="atLeast"/>
        </w:trPr>
        <w:tc>
          <w:tcPr>
            <w:tcW w:w="774" w:type="dxa"/>
            <w:tcBorders>
              <w:left w:val="single" w:color="000000" w:sz="4" w:space="0"/>
              <w:right w:val="single" w:color="000000" w:sz="4" w:space="0"/>
            </w:tcBorders>
            <w:vAlign w:val="center"/>
          </w:tcPr>
          <w:p w14:paraId="6EA2F6A6">
            <w:pPr>
              <w:autoSpaceDN w:val="0"/>
              <w:jc w:val="center"/>
              <w:textAlignment w:val="center"/>
              <w:rPr>
                <w:rFonts w:ascii="宋体" w:hAnsi="宋体"/>
                <w:b/>
                <w:color w:val="auto"/>
                <w:sz w:val="20"/>
                <w:highlight w:val="none"/>
              </w:rPr>
            </w:pPr>
            <w:r>
              <w:rPr>
                <w:rFonts w:ascii="宋体" w:hAnsi="宋体"/>
                <w:b/>
                <w:color w:val="auto"/>
                <w:sz w:val="20"/>
                <w:highlight w:val="none"/>
              </w:rPr>
              <w:t>管理指标（</w:t>
            </w:r>
            <w:r>
              <w:rPr>
                <w:rFonts w:hint="eastAsia" w:ascii="宋体" w:hAnsi="宋体"/>
                <w:b/>
                <w:color w:val="auto"/>
                <w:sz w:val="20"/>
                <w:highlight w:val="none"/>
                <w:lang w:val="en-US" w:eastAsia="zh-CN"/>
              </w:rPr>
              <w:t>5</w:t>
            </w:r>
            <w:r>
              <w:rPr>
                <w:rFonts w:ascii="宋体" w:hAnsi="宋体"/>
                <w:b/>
                <w:color w:val="auto"/>
                <w:sz w:val="20"/>
                <w:highlight w:val="none"/>
              </w:rPr>
              <w:t>%）</w:t>
            </w:r>
          </w:p>
        </w:tc>
        <w:tc>
          <w:tcPr>
            <w:tcW w:w="1132" w:type="dxa"/>
            <w:tcBorders>
              <w:bottom w:val="single" w:color="000000" w:sz="4" w:space="0"/>
            </w:tcBorders>
            <w:vAlign w:val="center"/>
          </w:tcPr>
          <w:p w14:paraId="6EB92E76">
            <w:pPr>
              <w:autoSpaceDN w:val="0"/>
              <w:jc w:val="left"/>
              <w:textAlignment w:val="center"/>
              <w:rPr>
                <w:rFonts w:ascii="宋体" w:hAnsi="宋体"/>
                <w:b/>
                <w:color w:val="auto"/>
                <w:sz w:val="20"/>
                <w:highlight w:val="none"/>
              </w:rPr>
            </w:pPr>
            <w:r>
              <w:rPr>
                <w:rFonts w:ascii="宋体" w:hAnsi="宋体"/>
                <w:b/>
                <w:color w:val="auto"/>
                <w:sz w:val="20"/>
                <w:highlight w:val="none"/>
              </w:rPr>
              <w:t>人员流失率</w:t>
            </w:r>
          </w:p>
        </w:tc>
        <w:tc>
          <w:tcPr>
            <w:tcW w:w="735" w:type="dxa"/>
            <w:tcBorders>
              <w:left w:val="single" w:color="000000" w:sz="4" w:space="0"/>
              <w:bottom w:val="single" w:color="000000" w:sz="4" w:space="0"/>
              <w:right w:val="single" w:color="000000" w:sz="4" w:space="0"/>
            </w:tcBorders>
            <w:vAlign w:val="center"/>
          </w:tcPr>
          <w:p w14:paraId="42AC7D39">
            <w:pPr>
              <w:autoSpaceDN w:val="0"/>
              <w:jc w:val="center"/>
              <w:textAlignment w:val="center"/>
              <w:rPr>
                <w:rFonts w:ascii="宋体" w:hAnsi="宋体"/>
                <w:color w:val="auto"/>
                <w:sz w:val="20"/>
                <w:highlight w:val="none"/>
              </w:rPr>
            </w:pPr>
            <w:r>
              <w:rPr>
                <w:rFonts w:ascii="宋体" w:hAnsi="宋体"/>
                <w:color w:val="auto"/>
                <w:sz w:val="20"/>
                <w:highlight w:val="none"/>
              </w:rPr>
              <w:t>5</w:t>
            </w:r>
          </w:p>
        </w:tc>
        <w:tc>
          <w:tcPr>
            <w:tcW w:w="1294" w:type="dxa"/>
            <w:tcBorders>
              <w:bottom w:val="single" w:color="000000" w:sz="4" w:space="0"/>
              <w:right w:val="single" w:color="000000" w:sz="4" w:space="0"/>
            </w:tcBorders>
            <w:vAlign w:val="center"/>
          </w:tcPr>
          <w:p w14:paraId="4B5EAFD8">
            <w:pPr>
              <w:autoSpaceDN w:val="0"/>
              <w:jc w:val="center"/>
              <w:textAlignment w:val="center"/>
              <w:rPr>
                <w:rFonts w:ascii="宋体" w:hAnsi="宋体"/>
                <w:color w:val="auto"/>
                <w:sz w:val="20"/>
                <w:highlight w:val="none"/>
              </w:rPr>
            </w:pPr>
            <w:r>
              <w:rPr>
                <w:rFonts w:ascii="宋体" w:hAnsi="宋体"/>
                <w:color w:val="auto"/>
                <w:sz w:val="20"/>
                <w:highlight w:val="none"/>
              </w:rPr>
              <w:t>≤6%</w:t>
            </w:r>
          </w:p>
        </w:tc>
        <w:tc>
          <w:tcPr>
            <w:tcW w:w="2119" w:type="dxa"/>
            <w:tcBorders>
              <w:bottom w:val="single" w:color="000000" w:sz="4" w:space="0"/>
              <w:right w:val="single" w:color="000000" w:sz="4" w:space="0"/>
            </w:tcBorders>
            <w:vAlign w:val="center"/>
          </w:tcPr>
          <w:p w14:paraId="33596370">
            <w:pPr>
              <w:autoSpaceDN w:val="0"/>
              <w:jc w:val="left"/>
              <w:textAlignment w:val="center"/>
              <w:rPr>
                <w:rFonts w:hint="default" w:ascii="宋体" w:hAnsi="宋体" w:eastAsiaTheme="minorEastAsia"/>
                <w:color w:val="auto"/>
                <w:sz w:val="20"/>
                <w:highlight w:val="none"/>
                <w:lang w:val="en-US" w:eastAsia="zh-CN"/>
              </w:rPr>
            </w:pPr>
            <w:r>
              <w:rPr>
                <w:rFonts w:ascii="宋体" w:hAnsi="宋体"/>
                <w:color w:val="auto"/>
                <w:sz w:val="20"/>
                <w:highlight w:val="none"/>
              </w:rPr>
              <w:t>员工流失率=</w:t>
            </w:r>
            <w:r>
              <w:rPr>
                <w:rFonts w:hint="eastAsia" w:ascii="宋体" w:hAnsi="宋体"/>
                <w:color w:val="auto"/>
                <w:sz w:val="20"/>
                <w:highlight w:val="none"/>
                <w:lang w:eastAsia="zh-CN"/>
              </w:rPr>
              <w:t>当月流失</w:t>
            </w:r>
            <w:r>
              <w:rPr>
                <w:rFonts w:ascii="宋体" w:hAnsi="宋体"/>
                <w:color w:val="auto"/>
                <w:sz w:val="20"/>
                <w:highlight w:val="none"/>
              </w:rPr>
              <w:t>人数÷</w:t>
            </w:r>
            <w:r>
              <w:rPr>
                <w:rFonts w:hint="eastAsia" w:ascii="宋体" w:hAnsi="宋体"/>
                <w:color w:val="auto"/>
                <w:sz w:val="20"/>
                <w:highlight w:val="none"/>
                <w:lang w:eastAsia="zh-CN"/>
              </w:rPr>
              <w:t>（上月在册人数</w:t>
            </w:r>
            <w:r>
              <w:rPr>
                <w:rFonts w:hint="eastAsia" w:ascii="宋体" w:hAnsi="宋体"/>
                <w:color w:val="auto"/>
                <w:sz w:val="20"/>
                <w:highlight w:val="none"/>
                <w:lang w:val="en-US" w:eastAsia="zh-CN"/>
              </w:rPr>
              <w:t>-上月流失人数+当月新增人数</w:t>
            </w:r>
            <w:r>
              <w:rPr>
                <w:rFonts w:hint="eastAsia" w:ascii="宋体" w:hAnsi="宋体"/>
                <w:color w:val="auto"/>
                <w:sz w:val="20"/>
                <w:highlight w:val="none"/>
                <w:lang w:eastAsia="zh-CN"/>
              </w:rPr>
              <w:t>）</w:t>
            </w:r>
            <w:r>
              <w:rPr>
                <w:rFonts w:hint="eastAsia" w:ascii="宋体" w:hAnsi="宋体"/>
                <w:color w:val="auto"/>
                <w:sz w:val="20"/>
                <w:highlight w:val="none"/>
                <w:lang w:val="en-US" w:eastAsia="zh-CN"/>
              </w:rPr>
              <w:t>*100%</w:t>
            </w:r>
          </w:p>
        </w:tc>
        <w:tc>
          <w:tcPr>
            <w:tcW w:w="2997" w:type="dxa"/>
            <w:tcBorders>
              <w:bottom w:val="single" w:color="000000" w:sz="4" w:space="0"/>
              <w:right w:val="single" w:color="000000" w:sz="4" w:space="0"/>
            </w:tcBorders>
            <w:vAlign w:val="center"/>
          </w:tcPr>
          <w:p w14:paraId="46E41F12">
            <w:pPr>
              <w:numPr>
                <w:ilvl w:val="0"/>
                <w:numId w:val="0"/>
              </w:numPr>
              <w:autoSpaceDN w:val="0"/>
              <w:jc w:val="left"/>
              <w:textAlignment w:val="center"/>
              <w:rPr>
                <w:rFonts w:ascii="宋体" w:hAnsi="宋体"/>
                <w:color w:val="auto"/>
                <w:sz w:val="20"/>
                <w:highlight w:val="none"/>
              </w:rPr>
            </w:pPr>
            <w:r>
              <w:rPr>
                <w:rFonts w:hint="eastAsia" w:ascii="宋体" w:hAnsi="宋体"/>
                <w:color w:val="auto"/>
                <w:sz w:val="20"/>
                <w:highlight w:val="none"/>
                <w:lang w:val="en-US" w:eastAsia="zh-CN"/>
              </w:rPr>
              <w:t>1.</w:t>
            </w:r>
            <w:r>
              <w:rPr>
                <w:rFonts w:ascii="宋体" w:hAnsi="宋体"/>
                <w:color w:val="auto"/>
                <w:sz w:val="20"/>
                <w:highlight w:val="none"/>
              </w:rPr>
              <w:t>统计对象为通过认证上岗的人员。</w:t>
            </w:r>
          </w:p>
          <w:p w14:paraId="491FCFD9">
            <w:pPr>
              <w:numPr>
                <w:ilvl w:val="0"/>
                <w:numId w:val="0"/>
              </w:numPr>
              <w:autoSpaceDN w:val="0"/>
              <w:jc w:val="left"/>
              <w:textAlignment w:val="center"/>
              <w:rPr>
                <w:rFonts w:ascii="宋体" w:hAnsi="宋体"/>
                <w:color w:val="auto"/>
                <w:sz w:val="20"/>
                <w:highlight w:val="none"/>
              </w:rPr>
            </w:pPr>
            <w:r>
              <w:rPr>
                <w:rFonts w:hint="eastAsia" w:ascii="宋体" w:hAnsi="宋体"/>
                <w:color w:val="auto"/>
                <w:sz w:val="20"/>
                <w:highlight w:val="none"/>
                <w:lang w:val="en-US" w:eastAsia="zh-CN"/>
              </w:rPr>
              <w:t>2.</w:t>
            </w:r>
            <w:r>
              <w:rPr>
                <w:rFonts w:ascii="宋体" w:hAnsi="宋体"/>
                <w:color w:val="auto"/>
                <w:sz w:val="20"/>
                <w:highlight w:val="none"/>
              </w:rPr>
              <w:t>员工流失率</w:t>
            </w:r>
            <w:r>
              <w:rPr>
                <w:rFonts w:hint="eastAsia" w:ascii="宋体" w:hAnsi="宋体"/>
                <w:color w:val="auto"/>
                <w:sz w:val="20"/>
                <w:highlight w:val="none"/>
                <w:lang w:eastAsia="zh-CN"/>
              </w:rPr>
              <w:t>低于</w:t>
            </w:r>
            <w:r>
              <w:rPr>
                <w:rFonts w:ascii="宋体" w:hAnsi="宋体"/>
                <w:color w:val="auto"/>
                <w:sz w:val="20"/>
                <w:highlight w:val="none"/>
              </w:rPr>
              <w:t>目标值得满分，高于目标值</w:t>
            </w:r>
            <w:r>
              <w:rPr>
                <w:rFonts w:hint="eastAsia" w:ascii="宋体" w:hAnsi="宋体"/>
                <w:color w:val="auto"/>
                <w:sz w:val="20"/>
                <w:highlight w:val="none"/>
                <w:lang w:val="en-US" w:eastAsia="zh-CN"/>
              </w:rPr>
              <w:t>n个百分点，扣0.5*n分</w:t>
            </w:r>
            <w:r>
              <w:rPr>
                <w:rFonts w:ascii="宋体" w:hAnsi="宋体"/>
                <w:color w:val="auto"/>
                <w:sz w:val="20"/>
                <w:highlight w:val="none"/>
              </w:rPr>
              <w:t>。</w:t>
            </w:r>
          </w:p>
          <w:p w14:paraId="61AE56EA">
            <w:pPr>
              <w:numPr>
                <w:ilvl w:val="0"/>
                <w:numId w:val="0"/>
              </w:numPr>
              <w:autoSpaceDN w:val="0"/>
              <w:jc w:val="left"/>
              <w:textAlignment w:val="center"/>
              <w:rPr>
                <w:rFonts w:hint="default" w:ascii="宋体" w:hAnsi="宋体" w:eastAsiaTheme="minorEastAsia"/>
                <w:color w:val="auto"/>
                <w:sz w:val="20"/>
                <w:highlight w:val="none"/>
                <w:lang w:val="en-US" w:eastAsia="zh-CN"/>
              </w:rPr>
            </w:pPr>
            <w:r>
              <w:rPr>
                <w:rFonts w:hint="eastAsia" w:ascii="宋体" w:hAnsi="宋体"/>
                <w:color w:val="auto"/>
                <w:sz w:val="20"/>
                <w:highlight w:val="none"/>
                <w:lang w:val="en-US" w:eastAsia="zh-CN"/>
              </w:rPr>
              <w:t>3.</w:t>
            </w:r>
            <w:r>
              <w:rPr>
                <w:rFonts w:hint="eastAsia" w:ascii="宋体" w:hAnsi="宋体"/>
                <w:color w:val="auto"/>
                <w:sz w:val="20"/>
                <w:highlight w:val="none"/>
                <w:lang w:eastAsia="zh-CN"/>
              </w:rPr>
              <w:t>上月在册人数指上月在职及上月曾入职本项目的人数</w:t>
            </w:r>
          </w:p>
        </w:tc>
      </w:tr>
      <w:tr w14:paraId="1D2C21C7">
        <w:tblPrEx>
          <w:tblCellMar>
            <w:top w:w="0" w:type="dxa"/>
            <w:left w:w="108" w:type="dxa"/>
            <w:bottom w:w="0" w:type="dxa"/>
            <w:right w:w="108" w:type="dxa"/>
          </w:tblCellMar>
        </w:tblPrEx>
        <w:trPr>
          <w:trHeight w:val="1200" w:hRule="atLeast"/>
        </w:trPr>
        <w:tc>
          <w:tcPr>
            <w:tcW w:w="774" w:type="dxa"/>
            <w:vMerge w:val="restart"/>
            <w:tcBorders>
              <w:top w:val="single" w:color="000000" w:sz="4" w:space="0"/>
              <w:left w:val="single" w:color="000000" w:sz="4" w:space="0"/>
              <w:right w:val="single" w:color="000000" w:sz="4" w:space="0"/>
            </w:tcBorders>
            <w:vAlign w:val="center"/>
          </w:tcPr>
          <w:p w14:paraId="236988C2">
            <w:pPr>
              <w:autoSpaceDN w:val="0"/>
              <w:jc w:val="left"/>
              <w:textAlignment w:val="center"/>
              <w:rPr>
                <w:rFonts w:ascii="宋体" w:hAnsi="宋体"/>
                <w:b/>
                <w:color w:val="auto"/>
                <w:sz w:val="20"/>
                <w:highlight w:val="none"/>
              </w:rPr>
            </w:pPr>
          </w:p>
        </w:tc>
        <w:tc>
          <w:tcPr>
            <w:tcW w:w="1132" w:type="dxa"/>
            <w:tcBorders>
              <w:bottom w:val="single" w:color="000000" w:sz="4" w:space="0"/>
              <w:right w:val="single" w:color="000000" w:sz="4" w:space="0"/>
            </w:tcBorders>
            <w:vAlign w:val="center"/>
          </w:tcPr>
          <w:p w14:paraId="5B79EA85">
            <w:pPr>
              <w:autoSpaceDN w:val="0"/>
              <w:jc w:val="left"/>
              <w:textAlignment w:val="center"/>
              <w:rPr>
                <w:rFonts w:ascii="宋体" w:hAnsi="宋体"/>
                <w:b/>
                <w:color w:val="auto"/>
                <w:sz w:val="20"/>
                <w:highlight w:val="none"/>
              </w:rPr>
            </w:pPr>
            <w:r>
              <w:rPr>
                <w:rFonts w:ascii="宋体" w:hAnsi="宋体"/>
                <w:b/>
                <w:color w:val="auto"/>
                <w:sz w:val="20"/>
                <w:highlight w:val="none"/>
              </w:rPr>
              <w:t>服务质量事件</w:t>
            </w:r>
          </w:p>
        </w:tc>
        <w:tc>
          <w:tcPr>
            <w:tcW w:w="2029" w:type="dxa"/>
            <w:gridSpan w:val="2"/>
            <w:tcBorders>
              <w:bottom w:val="single" w:color="000000" w:sz="4" w:space="0"/>
              <w:right w:val="single" w:color="000000" w:sz="4" w:space="0"/>
            </w:tcBorders>
            <w:vAlign w:val="center"/>
          </w:tcPr>
          <w:p w14:paraId="68DD6DD9">
            <w:pPr>
              <w:autoSpaceDN w:val="0"/>
              <w:jc w:val="center"/>
              <w:textAlignment w:val="center"/>
              <w:rPr>
                <w:rFonts w:ascii="宋体" w:hAnsi="宋体"/>
                <w:color w:val="auto"/>
                <w:sz w:val="20"/>
                <w:highlight w:val="none"/>
              </w:rPr>
            </w:pPr>
            <w:r>
              <w:rPr>
                <w:rFonts w:ascii="宋体" w:hAnsi="宋体"/>
                <w:color w:val="auto"/>
                <w:sz w:val="20"/>
                <w:highlight w:val="none"/>
              </w:rPr>
              <w:t>减分项</w:t>
            </w:r>
          </w:p>
        </w:tc>
        <w:tc>
          <w:tcPr>
            <w:tcW w:w="2119" w:type="dxa"/>
            <w:tcBorders>
              <w:bottom w:val="single" w:color="000000" w:sz="4" w:space="0"/>
              <w:right w:val="single" w:color="000000" w:sz="4" w:space="0"/>
            </w:tcBorders>
            <w:vAlign w:val="center"/>
          </w:tcPr>
          <w:p w14:paraId="6CA3DB87">
            <w:pPr>
              <w:autoSpaceDN w:val="0"/>
              <w:jc w:val="left"/>
              <w:textAlignment w:val="center"/>
              <w:rPr>
                <w:rFonts w:ascii="宋体" w:hAnsi="宋体"/>
                <w:color w:val="auto"/>
                <w:sz w:val="20"/>
                <w:highlight w:val="none"/>
              </w:rPr>
            </w:pPr>
            <w:r>
              <w:rPr>
                <w:rFonts w:ascii="宋体" w:hAnsi="宋体"/>
                <w:color w:val="auto"/>
                <w:sz w:val="20"/>
                <w:highlight w:val="none"/>
              </w:rPr>
              <w:t>重大服务质量事件</w:t>
            </w:r>
          </w:p>
        </w:tc>
        <w:tc>
          <w:tcPr>
            <w:tcW w:w="2997" w:type="dxa"/>
            <w:tcBorders>
              <w:bottom w:val="single" w:color="000000" w:sz="4" w:space="0"/>
              <w:right w:val="single" w:color="000000" w:sz="4" w:space="0"/>
            </w:tcBorders>
            <w:vAlign w:val="center"/>
          </w:tcPr>
          <w:p w14:paraId="49AF53AC">
            <w:pPr>
              <w:autoSpaceDN w:val="0"/>
              <w:jc w:val="left"/>
              <w:textAlignment w:val="center"/>
              <w:rPr>
                <w:rFonts w:ascii="宋体" w:hAnsi="宋体"/>
                <w:color w:val="auto"/>
                <w:sz w:val="20"/>
                <w:highlight w:val="none"/>
              </w:rPr>
            </w:pPr>
            <w:r>
              <w:rPr>
                <w:rFonts w:ascii="宋体" w:hAnsi="宋体"/>
                <w:color w:val="auto"/>
                <w:sz w:val="20"/>
                <w:highlight w:val="none"/>
              </w:rPr>
              <w:t>重大服务质量事件（如：因座席服务不当，并负主要责任引起</w:t>
            </w:r>
            <w:r>
              <w:rPr>
                <w:rFonts w:hint="eastAsia" w:ascii="宋体" w:hAnsi="宋体"/>
                <w:color w:val="auto"/>
                <w:sz w:val="20"/>
                <w:highlight w:val="none"/>
                <w:lang w:val="en-US" w:eastAsia="zh-CN"/>
              </w:rPr>
              <w:t>诉求</w:t>
            </w:r>
            <w:r>
              <w:rPr>
                <w:rFonts w:ascii="宋体" w:hAnsi="宋体"/>
                <w:color w:val="auto"/>
                <w:sz w:val="20"/>
                <w:highlight w:val="none"/>
              </w:rPr>
              <w:t>升级、信访、被媒体曝光等其它给企业形象造成不良影响的）：每发生1宗，扣</w:t>
            </w:r>
            <w:r>
              <w:rPr>
                <w:rFonts w:hint="eastAsia" w:ascii="宋体" w:hAnsi="宋体"/>
                <w:color w:val="auto"/>
                <w:sz w:val="20"/>
                <w:highlight w:val="none"/>
                <w:lang w:val="en-US" w:eastAsia="zh-CN"/>
              </w:rPr>
              <w:t>5</w:t>
            </w:r>
            <w:r>
              <w:rPr>
                <w:rFonts w:ascii="宋体" w:hAnsi="宋体"/>
                <w:color w:val="auto"/>
                <w:sz w:val="20"/>
                <w:highlight w:val="none"/>
              </w:rPr>
              <w:t>分。最高扣1</w:t>
            </w:r>
            <w:r>
              <w:rPr>
                <w:rFonts w:hint="eastAsia" w:ascii="宋体" w:hAnsi="宋体"/>
                <w:color w:val="auto"/>
                <w:sz w:val="20"/>
                <w:highlight w:val="none"/>
                <w:lang w:val="en-US" w:eastAsia="zh-CN"/>
              </w:rPr>
              <w:t>5</w:t>
            </w:r>
            <w:r>
              <w:rPr>
                <w:rFonts w:ascii="宋体" w:hAnsi="宋体"/>
                <w:color w:val="auto"/>
                <w:sz w:val="20"/>
                <w:highlight w:val="none"/>
              </w:rPr>
              <w:t>分。</w:t>
            </w:r>
          </w:p>
        </w:tc>
      </w:tr>
      <w:tr w14:paraId="31E95FAE">
        <w:tblPrEx>
          <w:tblCellMar>
            <w:top w:w="0" w:type="dxa"/>
            <w:left w:w="108" w:type="dxa"/>
            <w:bottom w:w="0" w:type="dxa"/>
            <w:right w:w="108" w:type="dxa"/>
          </w:tblCellMar>
        </w:tblPrEx>
        <w:trPr>
          <w:trHeight w:val="720" w:hRule="atLeast"/>
        </w:trPr>
        <w:tc>
          <w:tcPr>
            <w:tcW w:w="774" w:type="dxa"/>
            <w:vMerge w:val="continue"/>
            <w:tcBorders>
              <w:left w:val="single" w:color="000000" w:sz="4" w:space="0"/>
              <w:right w:val="single" w:color="000000" w:sz="4" w:space="0"/>
            </w:tcBorders>
            <w:vAlign w:val="center"/>
          </w:tcPr>
          <w:p w14:paraId="2B9E6D8B">
            <w:pPr>
              <w:rPr>
                <w:color w:val="auto"/>
                <w:highlight w:val="none"/>
              </w:rPr>
            </w:pPr>
          </w:p>
        </w:tc>
        <w:tc>
          <w:tcPr>
            <w:tcW w:w="1132" w:type="dxa"/>
            <w:tcBorders>
              <w:bottom w:val="single" w:color="auto" w:sz="4" w:space="0"/>
            </w:tcBorders>
            <w:vAlign w:val="center"/>
          </w:tcPr>
          <w:p w14:paraId="07FDBA50">
            <w:pPr>
              <w:autoSpaceDN w:val="0"/>
              <w:jc w:val="left"/>
              <w:textAlignment w:val="center"/>
              <w:rPr>
                <w:rFonts w:ascii="宋体" w:hAnsi="宋体"/>
                <w:b/>
                <w:color w:val="auto"/>
                <w:sz w:val="20"/>
                <w:highlight w:val="none"/>
              </w:rPr>
            </w:pPr>
            <w:r>
              <w:rPr>
                <w:rFonts w:ascii="宋体" w:hAnsi="宋体"/>
                <w:b/>
                <w:color w:val="auto"/>
                <w:sz w:val="20"/>
                <w:highlight w:val="none"/>
              </w:rPr>
              <w:t>安全生产</w:t>
            </w:r>
          </w:p>
        </w:tc>
        <w:tc>
          <w:tcPr>
            <w:tcW w:w="2029" w:type="dxa"/>
            <w:gridSpan w:val="2"/>
            <w:tcBorders>
              <w:left w:val="single" w:color="000000" w:sz="4" w:space="0"/>
              <w:bottom w:val="single" w:color="auto" w:sz="4" w:space="0"/>
              <w:right w:val="single" w:color="000000" w:sz="4" w:space="0"/>
            </w:tcBorders>
            <w:vAlign w:val="center"/>
          </w:tcPr>
          <w:p w14:paraId="077057CB">
            <w:pPr>
              <w:autoSpaceDN w:val="0"/>
              <w:jc w:val="center"/>
              <w:textAlignment w:val="center"/>
              <w:rPr>
                <w:rFonts w:ascii="宋体" w:hAnsi="宋体"/>
                <w:color w:val="auto"/>
                <w:sz w:val="20"/>
                <w:highlight w:val="none"/>
              </w:rPr>
            </w:pPr>
            <w:r>
              <w:rPr>
                <w:rFonts w:ascii="宋体" w:hAnsi="宋体"/>
                <w:color w:val="auto"/>
                <w:sz w:val="20"/>
                <w:highlight w:val="none"/>
              </w:rPr>
              <w:t>减分项</w:t>
            </w:r>
          </w:p>
        </w:tc>
        <w:tc>
          <w:tcPr>
            <w:tcW w:w="2119" w:type="dxa"/>
            <w:tcBorders>
              <w:bottom w:val="single" w:color="auto" w:sz="4" w:space="0"/>
              <w:right w:val="single" w:color="000000" w:sz="4" w:space="0"/>
            </w:tcBorders>
            <w:vAlign w:val="center"/>
          </w:tcPr>
          <w:p w14:paraId="594247C1">
            <w:pPr>
              <w:autoSpaceDN w:val="0"/>
              <w:jc w:val="left"/>
              <w:textAlignment w:val="center"/>
              <w:rPr>
                <w:rFonts w:ascii="宋体" w:hAnsi="宋体"/>
                <w:color w:val="auto"/>
                <w:sz w:val="20"/>
                <w:highlight w:val="none"/>
              </w:rPr>
            </w:pPr>
            <w:r>
              <w:rPr>
                <w:rFonts w:ascii="宋体" w:hAnsi="宋体"/>
                <w:color w:val="auto"/>
                <w:sz w:val="20"/>
                <w:highlight w:val="none"/>
              </w:rPr>
              <w:t>因乙方原因造</w:t>
            </w:r>
            <w:r>
              <w:rPr>
                <w:rFonts w:hint="eastAsia" w:ascii="宋体" w:hAnsi="宋体"/>
                <w:color w:val="auto"/>
                <w:sz w:val="20"/>
                <w:highlight w:val="none"/>
                <w:lang w:eastAsia="zh-CN"/>
              </w:rPr>
              <w:t>成</w:t>
            </w:r>
            <w:r>
              <w:rPr>
                <w:rFonts w:ascii="宋体" w:hAnsi="宋体"/>
                <w:color w:val="auto"/>
                <w:sz w:val="20"/>
                <w:highlight w:val="none"/>
              </w:rPr>
              <w:t>办公场所、信息系统、人身或较恶劣影响的重大安全生产事故</w:t>
            </w:r>
          </w:p>
        </w:tc>
        <w:tc>
          <w:tcPr>
            <w:tcW w:w="2997" w:type="dxa"/>
            <w:tcBorders>
              <w:bottom w:val="single" w:color="auto" w:sz="4" w:space="0"/>
              <w:right w:val="single" w:color="000000" w:sz="4" w:space="0"/>
            </w:tcBorders>
            <w:vAlign w:val="center"/>
          </w:tcPr>
          <w:p w14:paraId="340E8459">
            <w:pPr>
              <w:autoSpaceDN w:val="0"/>
              <w:jc w:val="left"/>
              <w:textAlignment w:val="center"/>
              <w:rPr>
                <w:rFonts w:ascii="宋体" w:hAnsi="宋体"/>
                <w:color w:val="auto"/>
                <w:sz w:val="20"/>
                <w:highlight w:val="none"/>
              </w:rPr>
            </w:pPr>
            <w:r>
              <w:rPr>
                <w:rFonts w:ascii="宋体" w:hAnsi="宋体"/>
                <w:color w:val="auto"/>
                <w:sz w:val="20"/>
                <w:highlight w:val="none"/>
              </w:rPr>
              <w:t>视事件情节扣3至10分。</w:t>
            </w:r>
          </w:p>
        </w:tc>
      </w:tr>
      <w:tr w14:paraId="5BF2B3C8">
        <w:tblPrEx>
          <w:tblCellMar>
            <w:top w:w="0" w:type="dxa"/>
            <w:left w:w="108" w:type="dxa"/>
            <w:bottom w:w="0" w:type="dxa"/>
            <w:right w:w="108" w:type="dxa"/>
          </w:tblCellMar>
        </w:tblPrEx>
        <w:trPr>
          <w:trHeight w:val="720" w:hRule="atLeast"/>
        </w:trPr>
        <w:tc>
          <w:tcPr>
            <w:tcW w:w="774" w:type="dxa"/>
            <w:vMerge w:val="continue"/>
            <w:tcBorders>
              <w:left w:val="single" w:color="000000" w:sz="4" w:space="0"/>
              <w:bottom w:val="single" w:color="000000" w:sz="4" w:space="0"/>
              <w:right w:val="single" w:color="000000" w:sz="4" w:space="0"/>
            </w:tcBorders>
            <w:vAlign w:val="center"/>
          </w:tcPr>
          <w:p w14:paraId="171BBBEE">
            <w:pPr>
              <w:rPr>
                <w:color w:val="auto"/>
                <w:highlight w:val="none"/>
              </w:rPr>
            </w:pPr>
          </w:p>
        </w:tc>
        <w:tc>
          <w:tcPr>
            <w:tcW w:w="1132" w:type="dxa"/>
            <w:tcBorders>
              <w:bottom w:val="single" w:color="auto" w:sz="4" w:space="0"/>
            </w:tcBorders>
            <w:vAlign w:val="center"/>
          </w:tcPr>
          <w:p w14:paraId="2B6EA635">
            <w:pPr>
              <w:autoSpaceDN w:val="0"/>
              <w:jc w:val="left"/>
              <w:textAlignment w:val="center"/>
              <w:rPr>
                <w:rFonts w:hint="eastAsia" w:ascii="宋体" w:hAnsi="宋体" w:eastAsiaTheme="minorEastAsia"/>
                <w:b/>
                <w:color w:val="auto"/>
                <w:sz w:val="20"/>
                <w:highlight w:val="none"/>
                <w:lang w:val="en-US" w:eastAsia="zh-CN"/>
              </w:rPr>
            </w:pPr>
            <w:r>
              <w:rPr>
                <w:rFonts w:hint="eastAsia" w:ascii="宋体" w:hAnsi="宋体"/>
                <w:b/>
                <w:color w:val="auto"/>
                <w:sz w:val="20"/>
                <w:highlight w:val="none"/>
                <w:lang w:val="en-US" w:eastAsia="zh-CN"/>
              </w:rPr>
              <w:t>舆情</w:t>
            </w:r>
          </w:p>
        </w:tc>
        <w:tc>
          <w:tcPr>
            <w:tcW w:w="2029" w:type="dxa"/>
            <w:gridSpan w:val="2"/>
            <w:tcBorders>
              <w:left w:val="single" w:color="000000" w:sz="4" w:space="0"/>
              <w:bottom w:val="single" w:color="auto" w:sz="4" w:space="0"/>
              <w:right w:val="single" w:color="000000" w:sz="4" w:space="0"/>
            </w:tcBorders>
            <w:vAlign w:val="center"/>
          </w:tcPr>
          <w:p w14:paraId="33BCD676">
            <w:pPr>
              <w:autoSpaceDN w:val="0"/>
              <w:jc w:val="center"/>
              <w:textAlignment w:val="center"/>
              <w:rPr>
                <w:rFonts w:ascii="宋体" w:hAnsi="宋体"/>
                <w:color w:val="auto"/>
                <w:sz w:val="20"/>
                <w:highlight w:val="none"/>
              </w:rPr>
            </w:pPr>
            <w:r>
              <w:rPr>
                <w:rFonts w:ascii="宋体" w:hAnsi="宋体"/>
                <w:color w:val="auto"/>
                <w:sz w:val="20"/>
                <w:highlight w:val="none"/>
              </w:rPr>
              <w:t>减分项</w:t>
            </w:r>
          </w:p>
        </w:tc>
        <w:tc>
          <w:tcPr>
            <w:tcW w:w="2119" w:type="dxa"/>
            <w:tcBorders>
              <w:bottom w:val="single" w:color="auto" w:sz="4" w:space="0"/>
              <w:right w:val="single" w:color="000000" w:sz="4" w:space="0"/>
            </w:tcBorders>
            <w:vAlign w:val="center"/>
          </w:tcPr>
          <w:p w14:paraId="6BBB49D6">
            <w:pPr>
              <w:autoSpaceDN w:val="0"/>
              <w:jc w:val="left"/>
              <w:textAlignment w:val="center"/>
              <w:rPr>
                <w:rFonts w:hint="default" w:ascii="宋体" w:hAnsi="宋体" w:eastAsiaTheme="minorEastAsia"/>
                <w:color w:val="auto"/>
                <w:sz w:val="20"/>
                <w:highlight w:val="none"/>
                <w:lang w:val="en-US" w:eastAsia="zh-CN"/>
              </w:rPr>
            </w:pPr>
            <w:r>
              <w:rPr>
                <w:rFonts w:ascii="宋体" w:hAnsi="宋体"/>
                <w:color w:val="auto"/>
                <w:sz w:val="20"/>
                <w:highlight w:val="none"/>
              </w:rPr>
              <w:t>因乙方原因造</w:t>
            </w:r>
            <w:r>
              <w:rPr>
                <w:rFonts w:hint="eastAsia" w:ascii="宋体" w:hAnsi="宋体"/>
                <w:color w:val="auto"/>
                <w:sz w:val="20"/>
                <w:highlight w:val="none"/>
                <w:lang w:eastAsia="zh-CN"/>
              </w:rPr>
              <w:t>成</w:t>
            </w:r>
            <w:r>
              <w:rPr>
                <w:rFonts w:hint="eastAsia" w:ascii="宋体" w:hAnsi="宋体"/>
                <w:color w:val="auto"/>
                <w:sz w:val="20"/>
                <w:highlight w:val="none"/>
                <w:lang w:val="en-US" w:eastAsia="zh-CN"/>
              </w:rPr>
              <w:t>不良影响或舆情事件</w:t>
            </w:r>
          </w:p>
        </w:tc>
        <w:tc>
          <w:tcPr>
            <w:tcW w:w="2997" w:type="dxa"/>
            <w:tcBorders>
              <w:bottom w:val="single" w:color="auto" w:sz="4" w:space="0"/>
              <w:right w:val="single" w:color="000000" w:sz="4" w:space="0"/>
            </w:tcBorders>
            <w:vAlign w:val="center"/>
          </w:tcPr>
          <w:p w14:paraId="42E8AC7A">
            <w:pPr>
              <w:autoSpaceDN w:val="0"/>
              <w:jc w:val="left"/>
              <w:textAlignment w:val="center"/>
              <w:rPr>
                <w:rFonts w:ascii="宋体" w:hAnsi="宋体"/>
                <w:color w:val="auto"/>
                <w:sz w:val="20"/>
                <w:highlight w:val="none"/>
              </w:rPr>
            </w:pPr>
            <w:r>
              <w:rPr>
                <w:rFonts w:ascii="宋体" w:hAnsi="宋体"/>
                <w:color w:val="auto"/>
                <w:sz w:val="20"/>
                <w:highlight w:val="none"/>
              </w:rPr>
              <w:t>视事件情节扣3至10分。</w:t>
            </w:r>
          </w:p>
        </w:tc>
      </w:tr>
      <w:tr w14:paraId="7267A818">
        <w:tblPrEx>
          <w:tblCellMar>
            <w:top w:w="0" w:type="dxa"/>
            <w:left w:w="108" w:type="dxa"/>
            <w:bottom w:w="0" w:type="dxa"/>
            <w:right w:w="108" w:type="dxa"/>
          </w:tblCellMar>
        </w:tblPrEx>
        <w:trPr>
          <w:trHeight w:val="720" w:hRule="atLeast"/>
        </w:trPr>
        <w:tc>
          <w:tcPr>
            <w:tcW w:w="774" w:type="dxa"/>
            <w:tcBorders>
              <w:top w:val="single" w:color="000000" w:sz="4" w:space="0"/>
              <w:left w:val="single" w:color="000000" w:sz="4" w:space="0"/>
              <w:bottom w:val="single" w:color="000000" w:sz="4" w:space="0"/>
              <w:right w:val="single" w:color="auto" w:sz="4" w:space="0"/>
            </w:tcBorders>
            <w:vAlign w:val="center"/>
          </w:tcPr>
          <w:p w14:paraId="57B3F7A2">
            <w:pPr>
              <w:rPr>
                <w:color w:val="auto"/>
                <w:highlight w:val="none"/>
              </w:rPr>
            </w:pPr>
          </w:p>
        </w:tc>
        <w:tc>
          <w:tcPr>
            <w:tcW w:w="1132" w:type="dxa"/>
            <w:tcBorders>
              <w:top w:val="single" w:color="auto" w:sz="4" w:space="0"/>
              <w:left w:val="single" w:color="auto" w:sz="4" w:space="0"/>
              <w:bottom w:val="single" w:color="auto" w:sz="4" w:space="0"/>
              <w:right w:val="single" w:color="auto" w:sz="4" w:space="0"/>
            </w:tcBorders>
            <w:vAlign w:val="center"/>
          </w:tcPr>
          <w:p w14:paraId="483B2F33">
            <w:pPr>
              <w:autoSpaceDN w:val="0"/>
              <w:jc w:val="left"/>
              <w:textAlignment w:val="center"/>
              <w:rPr>
                <w:rFonts w:hint="eastAsia" w:ascii="宋体" w:hAnsi="宋体" w:eastAsiaTheme="minorEastAsia"/>
                <w:b/>
                <w:color w:val="auto"/>
                <w:sz w:val="20"/>
                <w:highlight w:val="none"/>
                <w:lang w:eastAsia="zh-CN"/>
              </w:rPr>
            </w:pPr>
            <w:r>
              <w:rPr>
                <w:rFonts w:hint="eastAsia" w:ascii="宋体" w:hAnsi="宋体"/>
                <w:b/>
                <w:color w:val="auto"/>
                <w:sz w:val="20"/>
                <w:highlight w:val="none"/>
                <w:lang w:eastAsia="zh-CN"/>
              </w:rPr>
              <w:t>其他</w:t>
            </w:r>
          </w:p>
        </w:tc>
        <w:tc>
          <w:tcPr>
            <w:tcW w:w="7145" w:type="dxa"/>
            <w:gridSpan w:val="4"/>
            <w:tcBorders>
              <w:top w:val="single" w:color="auto" w:sz="4" w:space="0"/>
              <w:left w:val="single" w:color="auto" w:sz="4" w:space="0"/>
              <w:bottom w:val="single" w:color="auto" w:sz="4" w:space="0"/>
              <w:right w:val="single" w:color="auto" w:sz="4" w:space="0"/>
            </w:tcBorders>
            <w:vAlign w:val="center"/>
          </w:tcPr>
          <w:p w14:paraId="4719DBEF">
            <w:pPr>
              <w:autoSpaceDN w:val="0"/>
              <w:jc w:val="left"/>
              <w:textAlignment w:val="center"/>
              <w:rPr>
                <w:rFonts w:hint="eastAsia" w:ascii="宋体" w:hAnsi="宋体" w:eastAsiaTheme="minorEastAsia"/>
                <w:color w:val="auto"/>
                <w:sz w:val="20"/>
                <w:highlight w:val="none"/>
                <w:lang w:eastAsia="zh-CN"/>
              </w:rPr>
            </w:pPr>
          </w:p>
        </w:tc>
      </w:tr>
    </w:tbl>
    <w:p w14:paraId="3135EDB7">
      <w:pPr>
        <w:spacing w:line="360" w:lineRule="auto"/>
        <w:rPr>
          <w:rFonts w:hint="eastAsia" w:ascii="宋体" w:hAnsi="宋体"/>
          <w:color w:val="auto"/>
          <w:szCs w:val="21"/>
          <w:highlight w:val="none"/>
        </w:rPr>
      </w:pPr>
      <w:r>
        <w:rPr>
          <w:rFonts w:hint="eastAsia" w:ascii="宋体" w:hAnsi="宋体"/>
          <w:color w:val="auto"/>
          <w:szCs w:val="21"/>
          <w:highlight w:val="none"/>
        </w:rPr>
        <w:t>说明：</w:t>
      </w:r>
    </w:p>
    <w:p w14:paraId="631F0B9E">
      <w:pPr>
        <w:spacing w:line="360" w:lineRule="auto"/>
        <w:rPr>
          <w:rFonts w:hint="eastAsia" w:ascii="宋体" w:hAnsi="宋体"/>
          <w:color w:val="auto"/>
          <w:szCs w:val="21"/>
          <w:highlight w:val="none"/>
        </w:rPr>
      </w:pPr>
      <w:r>
        <w:rPr>
          <w:rFonts w:hint="eastAsia" w:ascii="宋体" w:hAnsi="宋体"/>
          <w:color w:val="auto"/>
          <w:szCs w:val="21"/>
          <w:highlight w:val="none"/>
          <w:lang w:val="en-US" w:eastAsia="zh-CN"/>
        </w:rPr>
        <w:t>1.</w:t>
      </w:r>
      <w:r>
        <w:rPr>
          <w:rFonts w:hint="eastAsia" w:ascii="宋体" w:hAnsi="宋体"/>
          <w:color w:val="auto"/>
          <w:szCs w:val="21"/>
          <w:highlight w:val="none"/>
        </w:rPr>
        <w:t>以上各项分数最多扣减至得分为0。</w:t>
      </w:r>
    </w:p>
    <w:p w14:paraId="65B2A33F">
      <w:pPr>
        <w:spacing w:line="360" w:lineRule="auto"/>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 xml:space="preserve">2.考核项与评分标准以最终合同约定为准。    </w:t>
      </w:r>
    </w:p>
    <w:p w14:paraId="055D42D1">
      <w:pPr>
        <w:spacing w:line="360" w:lineRule="auto"/>
        <w:rPr>
          <w:rFonts w:hint="eastAsia" w:ascii="宋体" w:hAnsi="宋体"/>
          <w:color w:val="auto"/>
          <w:szCs w:val="21"/>
          <w:highlight w:val="none"/>
        </w:rPr>
      </w:pPr>
    </w:p>
    <w:p w14:paraId="5EC6A74D">
      <w:pPr>
        <w:numPr>
          <w:ilvl w:val="0"/>
          <w:numId w:val="0"/>
        </w:numPr>
        <w:spacing w:line="360" w:lineRule="auto"/>
        <w:ind w:leftChars="0" w:firstLine="482" w:firstLineChars="200"/>
        <w:contextualSpacing/>
        <w:outlineLvl w:val="0"/>
        <w:rPr>
          <w:rFonts w:hint="eastAsia" w:ascii="宋体" w:hAnsi="宋体" w:eastAsia="宋体" w:cs="Times New Roman"/>
          <w:b/>
          <w:bCs/>
          <w:color w:val="auto"/>
          <w:sz w:val="24"/>
          <w:szCs w:val="24"/>
          <w:highlight w:val="none"/>
          <w:lang w:val="en-US" w:eastAsia="zh-CN"/>
        </w:rPr>
      </w:pPr>
      <w:bookmarkStart w:id="23" w:name="_Toc18740"/>
      <w:bookmarkStart w:id="24" w:name="_Toc8724_WPSOffice_Level1"/>
      <w:bookmarkStart w:id="25" w:name="_Toc12180_WPSOffice_Level2"/>
      <w:bookmarkStart w:id="26" w:name="_Toc30424"/>
      <w:bookmarkStart w:id="27" w:name="_Toc14231_WPSOffice_Level2"/>
      <w:bookmarkStart w:id="28" w:name="_Toc23777"/>
      <w:bookmarkStart w:id="29" w:name="_Toc27210_WPSOffice_Level2"/>
      <w:r>
        <w:rPr>
          <w:rFonts w:hint="eastAsia" w:ascii="宋体" w:hAnsi="宋体" w:eastAsia="宋体" w:cs="Times New Roman"/>
          <w:b/>
          <w:bCs/>
          <w:color w:val="auto"/>
          <w:sz w:val="24"/>
          <w:szCs w:val="24"/>
          <w:highlight w:val="none"/>
          <w:lang w:val="en-US" w:eastAsia="zh-CN"/>
        </w:rPr>
        <w:t>二.考核等级</w:t>
      </w:r>
      <w:bookmarkEnd w:id="23"/>
      <w:bookmarkEnd w:id="24"/>
      <w:bookmarkEnd w:id="25"/>
      <w:bookmarkEnd w:id="26"/>
      <w:bookmarkEnd w:id="27"/>
      <w:bookmarkEnd w:id="28"/>
      <w:bookmarkEnd w:id="29"/>
    </w:p>
    <w:p w14:paraId="0533AB63">
      <w:pPr>
        <w:numPr>
          <w:ilvl w:val="0"/>
          <w:numId w:val="0"/>
        </w:numPr>
        <w:spacing w:line="360" w:lineRule="auto"/>
        <w:ind w:leftChars="0" w:firstLine="480" w:firstLineChars="200"/>
        <w:contextualSpacing/>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根据得分高低，划分如下：</w:t>
      </w:r>
    </w:p>
    <w:p w14:paraId="660E5189">
      <w:pPr>
        <w:numPr>
          <w:ilvl w:val="0"/>
          <w:numId w:val="0"/>
        </w:numPr>
        <w:spacing w:line="360" w:lineRule="auto"/>
        <w:ind w:leftChars="0" w:firstLine="480" w:firstLineChars="200"/>
        <w:contextualSpacing/>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不合格：考核得分＜90分；</w:t>
      </w:r>
    </w:p>
    <w:p w14:paraId="55004B75">
      <w:pPr>
        <w:numPr>
          <w:ilvl w:val="0"/>
          <w:numId w:val="0"/>
        </w:numPr>
        <w:spacing w:line="360" w:lineRule="auto"/>
        <w:ind w:leftChars="0" w:firstLine="480" w:firstLineChars="200"/>
        <w:contextualSpacing/>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合格：90分≤考核得分＜94分；</w:t>
      </w:r>
    </w:p>
    <w:p w14:paraId="7B15A445">
      <w:pPr>
        <w:numPr>
          <w:ilvl w:val="0"/>
          <w:numId w:val="0"/>
        </w:numPr>
        <w:spacing w:line="360" w:lineRule="auto"/>
        <w:ind w:leftChars="0" w:firstLine="480" w:firstLineChars="200"/>
        <w:contextualSpacing/>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良好：94分≤考核得分＜97分；</w:t>
      </w:r>
    </w:p>
    <w:p w14:paraId="35B272D1">
      <w:pPr>
        <w:numPr>
          <w:ilvl w:val="0"/>
          <w:numId w:val="0"/>
        </w:numPr>
        <w:spacing w:line="360" w:lineRule="auto"/>
        <w:ind w:leftChars="0" w:firstLine="480" w:firstLineChars="200"/>
        <w:contextualSpacing/>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优秀：考核得分≥97分。</w:t>
      </w:r>
    </w:p>
    <w:p w14:paraId="519EE3E0">
      <w:pPr>
        <w:spacing w:line="360" w:lineRule="auto"/>
        <w:contextualSpacing/>
        <w:rPr>
          <w:rFonts w:hint="eastAsia" w:ascii="宋体" w:hAnsi="宋体" w:eastAsia="宋体" w:cs="Times New Roman"/>
          <w:color w:val="auto"/>
          <w:sz w:val="24"/>
          <w:szCs w:val="24"/>
          <w:highlight w:val="none"/>
          <w:lang w:val="en-US" w:eastAsia="zh-CN"/>
        </w:rPr>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7A710">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D0A7CA">
                          <w:pPr>
                            <w:pStyle w:val="10"/>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6FD0A7CA">
                    <w:pPr>
                      <w:pStyle w:val="10"/>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8C0F05"/>
    <w:multiLevelType w:val="singleLevel"/>
    <w:tmpl w:val="008C0F05"/>
    <w:lvl w:ilvl="0" w:tentative="0">
      <w:start w:val="2"/>
      <w:numFmt w:val="decimal"/>
      <w:lvlText w:val="%1."/>
      <w:lvlJc w:val="left"/>
      <w:pPr>
        <w:tabs>
          <w:tab w:val="left" w:pos="312"/>
        </w:tabs>
      </w:pPr>
    </w:lvl>
  </w:abstractNum>
  <w:abstractNum w:abstractNumId="1">
    <w:nsid w:val="372667F7"/>
    <w:multiLevelType w:val="multilevel"/>
    <w:tmpl w:val="372667F7"/>
    <w:lvl w:ilvl="0" w:tentative="0">
      <w:start w:val="1"/>
      <w:numFmt w:val="chineseCountingThousand"/>
      <w:suff w:val="nothing"/>
      <w:lvlText w:val="第%1章"/>
      <w:lvlJc w:val="left"/>
      <w:pPr>
        <w:ind w:left="0" w:firstLine="0"/>
      </w:pPr>
      <w:rPr>
        <w:rFonts w:hint="eastAsia"/>
        <w:i w:val="0"/>
      </w:rPr>
    </w:lvl>
    <w:lvl w:ilvl="1" w:tentative="0">
      <w:start w:val="1"/>
      <w:numFmt w:val="chineseCountingThousand"/>
      <w:pStyle w:val="5"/>
      <w:suff w:val="nothing"/>
      <w:lvlText w:val="%2、"/>
      <w:lvlJc w:val="left"/>
      <w:pPr>
        <w:ind w:left="0" w:firstLine="0"/>
      </w:pPr>
      <w:rPr>
        <w:rFonts w:hint="eastAsia"/>
        <w:i w:val="0"/>
      </w:rPr>
    </w:lvl>
    <w:lvl w:ilvl="2" w:tentative="0">
      <w:start w:val="1"/>
      <w:numFmt w:val="decimal"/>
      <w:pStyle w:val="6"/>
      <w:isLgl/>
      <w:lvlText w:val="%2.%3"/>
      <w:lvlJc w:val="left"/>
      <w:pPr>
        <w:ind w:left="142" w:firstLine="0"/>
      </w:pPr>
      <w:rPr>
        <w:rFonts w:hint="eastAsia"/>
      </w:rPr>
    </w:lvl>
    <w:lvl w:ilvl="3" w:tentative="0">
      <w:start w:val="1"/>
      <w:numFmt w:val="decimal"/>
      <w:pStyle w:val="8"/>
      <w:isLgl/>
      <w:suff w:val="space"/>
      <w:lvlText w:val="%2.%3.%4"/>
      <w:lvlJc w:val="left"/>
      <w:pPr>
        <w:ind w:left="0" w:firstLine="454"/>
      </w:pPr>
      <w:rPr>
        <w:rFonts w:hint="eastAsia"/>
        <w:b/>
      </w:rPr>
    </w:lvl>
    <w:lvl w:ilvl="4" w:tentative="0">
      <w:start w:val="1"/>
      <w:numFmt w:val="decimal"/>
      <w:isLgl/>
      <w:suff w:val="space"/>
      <w:lvlText w:val="%2.%3.%4.%5"/>
      <w:lvlJc w:val="left"/>
      <w:pPr>
        <w:ind w:left="0" w:firstLine="454"/>
      </w:pPr>
      <w:rPr>
        <w:rFonts w:hint="eastAsia"/>
      </w:rPr>
    </w:lvl>
    <w:lvl w:ilvl="5" w:tentative="0">
      <w:start w:val="1"/>
      <w:numFmt w:val="decimal"/>
      <w:isLgl/>
      <w:suff w:val="nothing"/>
      <w:lvlText w:val="%2.%3.%4.%5.%6"/>
      <w:lvlJc w:val="left"/>
      <w:pPr>
        <w:ind w:left="0" w:firstLine="0"/>
      </w:pPr>
      <w:rPr>
        <w:rFonts w:hint="eastAsia"/>
        <w:b/>
      </w:rPr>
    </w:lvl>
    <w:lvl w:ilvl="6" w:tentative="0">
      <w:start w:val="1"/>
      <w:numFmt w:val="decimal"/>
      <w:isLgl/>
      <w:suff w:val="space"/>
      <w:lvlText w:val="%2.%3.%4.%5.%6.%7"/>
      <w:lvlJc w:val="left"/>
      <w:pPr>
        <w:ind w:left="0" w:firstLine="0"/>
      </w:pPr>
      <w:rPr>
        <w:rFonts w:hint="eastAsia" w:ascii="宋体" w:hAnsi="宋体" w:eastAsia="宋体" w:cs="Times New Roman"/>
        <w:b w:val="0"/>
        <w:bCs w:val="0"/>
        <w:i w:val="0"/>
        <w:iCs w:val="0"/>
        <w:caps w:val="0"/>
        <w:smallCaps w:val="0"/>
        <w:strike w:val="0"/>
        <w:dstrike w:val="0"/>
        <w:vanish w:val="0"/>
        <w:color w:val="000000"/>
        <w:spacing w:val="0"/>
        <w:position w:val="0"/>
        <w:u w:val="none"/>
        <w:vertAlign w:val="baseline"/>
      </w:rPr>
    </w:lvl>
    <w:lvl w:ilvl="7" w:tentative="0">
      <w:start w:val="1"/>
      <w:numFmt w:val="decimal"/>
      <w:suff w:val="space"/>
      <w:lvlText w:val="3.%3.%4.%5.%6.%7.%8"/>
      <w:lvlJc w:val="left"/>
      <w:pPr>
        <w:ind w:left="0" w:firstLine="0"/>
      </w:pPr>
      <w:rPr>
        <w:rFonts w:hint="eastAsia" w:ascii="宋体" w:hAnsi="宋体" w:eastAsia="宋体"/>
        <w:i w:val="0"/>
      </w:rPr>
    </w:lvl>
    <w:lvl w:ilvl="8" w:tentative="0">
      <w:start w:val="1"/>
      <w:numFmt w:val="decimal"/>
      <w:suff w:val="nothing"/>
      <w:lvlText w:val="3.%3.%4.%5.%6.%7.%8.%9"/>
      <w:lvlJc w:val="left"/>
      <w:pPr>
        <w:ind w:left="0" w:firstLine="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zYjhhZWExMWNlZDM0YTE2ZTcxNGI3N2FmOGM2MzcifQ=="/>
  </w:docVars>
  <w:rsids>
    <w:rsidRoot w:val="7A3343E8"/>
    <w:rsid w:val="001E7456"/>
    <w:rsid w:val="00761023"/>
    <w:rsid w:val="00792ABE"/>
    <w:rsid w:val="007D6C85"/>
    <w:rsid w:val="00804732"/>
    <w:rsid w:val="00B75DE3"/>
    <w:rsid w:val="00C11A5E"/>
    <w:rsid w:val="00DF3B0F"/>
    <w:rsid w:val="00F41685"/>
    <w:rsid w:val="0104622D"/>
    <w:rsid w:val="01060713"/>
    <w:rsid w:val="01065D9C"/>
    <w:rsid w:val="0129520D"/>
    <w:rsid w:val="01495C5E"/>
    <w:rsid w:val="015D7CD3"/>
    <w:rsid w:val="0174565A"/>
    <w:rsid w:val="01851B57"/>
    <w:rsid w:val="01D95CDD"/>
    <w:rsid w:val="01DF1648"/>
    <w:rsid w:val="01E71623"/>
    <w:rsid w:val="02380AF9"/>
    <w:rsid w:val="024E523E"/>
    <w:rsid w:val="0282632A"/>
    <w:rsid w:val="02940A5F"/>
    <w:rsid w:val="02BD1AA9"/>
    <w:rsid w:val="02D95B68"/>
    <w:rsid w:val="03153DE0"/>
    <w:rsid w:val="033C0927"/>
    <w:rsid w:val="03BB3FEE"/>
    <w:rsid w:val="03C65E86"/>
    <w:rsid w:val="03E73DD3"/>
    <w:rsid w:val="04596FC3"/>
    <w:rsid w:val="04726C78"/>
    <w:rsid w:val="0479760B"/>
    <w:rsid w:val="04825369"/>
    <w:rsid w:val="04BF033D"/>
    <w:rsid w:val="04EB1E9E"/>
    <w:rsid w:val="05034370"/>
    <w:rsid w:val="054C3B16"/>
    <w:rsid w:val="05580512"/>
    <w:rsid w:val="05977170"/>
    <w:rsid w:val="059F05E3"/>
    <w:rsid w:val="05A1478C"/>
    <w:rsid w:val="05F15FCB"/>
    <w:rsid w:val="05F263C6"/>
    <w:rsid w:val="066F1C9F"/>
    <w:rsid w:val="06956F9B"/>
    <w:rsid w:val="06B432CB"/>
    <w:rsid w:val="06DA0393"/>
    <w:rsid w:val="06F148B0"/>
    <w:rsid w:val="07235E1A"/>
    <w:rsid w:val="072437CA"/>
    <w:rsid w:val="07410D5C"/>
    <w:rsid w:val="078758E5"/>
    <w:rsid w:val="079C6D1A"/>
    <w:rsid w:val="07A666D6"/>
    <w:rsid w:val="07D00884"/>
    <w:rsid w:val="07DA735C"/>
    <w:rsid w:val="07EA5A93"/>
    <w:rsid w:val="07EB205D"/>
    <w:rsid w:val="085844B4"/>
    <w:rsid w:val="085B7CB6"/>
    <w:rsid w:val="089716ED"/>
    <w:rsid w:val="089D2D86"/>
    <w:rsid w:val="08AE6976"/>
    <w:rsid w:val="08EE43B8"/>
    <w:rsid w:val="092D4747"/>
    <w:rsid w:val="092E16E5"/>
    <w:rsid w:val="095F11BF"/>
    <w:rsid w:val="09896E9C"/>
    <w:rsid w:val="09C64388"/>
    <w:rsid w:val="0A0525DA"/>
    <w:rsid w:val="0A1A432B"/>
    <w:rsid w:val="0A523D50"/>
    <w:rsid w:val="0A5E471E"/>
    <w:rsid w:val="0A7706D5"/>
    <w:rsid w:val="0AFA0D40"/>
    <w:rsid w:val="0B1B4070"/>
    <w:rsid w:val="0B1D5448"/>
    <w:rsid w:val="0B256908"/>
    <w:rsid w:val="0B2B2C7C"/>
    <w:rsid w:val="0BE125F6"/>
    <w:rsid w:val="0C357CA1"/>
    <w:rsid w:val="0C500261"/>
    <w:rsid w:val="0C605BA6"/>
    <w:rsid w:val="0C7B28D4"/>
    <w:rsid w:val="0CC858D1"/>
    <w:rsid w:val="0CD43661"/>
    <w:rsid w:val="0CF56767"/>
    <w:rsid w:val="0D9C6FC6"/>
    <w:rsid w:val="0DFF2CF1"/>
    <w:rsid w:val="0E2B00C6"/>
    <w:rsid w:val="0EE039FC"/>
    <w:rsid w:val="0F1E7175"/>
    <w:rsid w:val="0F3120E3"/>
    <w:rsid w:val="0F6A1A51"/>
    <w:rsid w:val="0FAE0DD6"/>
    <w:rsid w:val="0FC55380"/>
    <w:rsid w:val="0FE13540"/>
    <w:rsid w:val="0FE94A3C"/>
    <w:rsid w:val="100D60F9"/>
    <w:rsid w:val="10425669"/>
    <w:rsid w:val="10514486"/>
    <w:rsid w:val="1082731B"/>
    <w:rsid w:val="11481D4B"/>
    <w:rsid w:val="114D540A"/>
    <w:rsid w:val="11C22301"/>
    <w:rsid w:val="11D34783"/>
    <w:rsid w:val="11EC6A74"/>
    <w:rsid w:val="12546940"/>
    <w:rsid w:val="125E0DAE"/>
    <w:rsid w:val="1296526E"/>
    <w:rsid w:val="12BE61DE"/>
    <w:rsid w:val="13414503"/>
    <w:rsid w:val="13B37552"/>
    <w:rsid w:val="14124FBE"/>
    <w:rsid w:val="141B6FA9"/>
    <w:rsid w:val="14672034"/>
    <w:rsid w:val="14912FF1"/>
    <w:rsid w:val="150A74A4"/>
    <w:rsid w:val="154A6FAA"/>
    <w:rsid w:val="15877524"/>
    <w:rsid w:val="15AE1DD3"/>
    <w:rsid w:val="15BD0EBE"/>
    <w:rsid w:val="167D0D0C"/>
    <w:rsid w:val="16A169F3"/>
    <w:rsid w:val="16CC1790"/>
    <w:rsid w:val="17042508"/>
    <w:rsid w:val="1722154E"/>
    <w:rsid w:val="17267A45"/>
    <w:rsid w:val="175F21BD"/>
    <w:rsid w:val="17847EB2"/>
    <w:rsid w:val="17913B97"/>
    <w:rsid w:val="17B43E48"/>
    <w:rsid w:val="18317AF1"/>
    <w:rsid w:val="186A4AD5"/>
    <w:rsid w:val="186F5174"/>
    <w:rsid w:val="18830CF1"/>
    <w:rsid w:val="18AE34DD"/>
    <w:rsid w:val="18D07312"/>
    <w:rsid w:val="18D57A3F"/>
    <w:rsid w:val="18E000E7"/>
    <w:rsid w:val="19353DDF"/>
    <w:rsid w:val="19444B13"/>
    <w:rsid w:val="196B2A51"/>
    <w:rsid w:val="19792A20"/>
    <w:rsid w:val="198312AA"/>
    <w:rsid w:val="199405B9"/>
    <w:rsid w:val="19A10F24"/>
    <w:rsid w:val="19CD0264"/>
    <w:rsid w:val="19EE5640"/>
    <w:rsid w:val="19F34900"/>
    <w:rsid w:val="1A171428"/>
    <w:rsid w:val="1A2104C4"/>
    <w:rsid w:val="1A5F45ED"/>
    <w:rsid w:val="1AB64D9C"/>
    <w:rsid w:val="1AB94FAA"/>
    <w:rsid w:val="1AD227E7"/>
    <w:rsid w:val="1AE161DE"/>
    <w:rsid w:val="1AE22B51"/>
    <w:rsid w:val="1B255BF6"/>
    <w:rsid w:val="1B76342D"/>
    <w:rsid w:val="1B7F53A9"/>
    <w:rsid w:val="1B9E33CC"/>
    <w:rsid w:val="1BAE0158"/>
    <w:rsid w:val="1BFD689B"/>
    <w:rsid w:val="1C181C91"/>
    <w:rsid w:val="1C515FF4"/>
    <w:rsid w:val="1D1A3368"/>
    <w:rsid w:val="1D33405C"/>
    <w:rsid w:val="1D39421D"/>
    <w:rsid w:val="1D556B37"/>
    <w:rsid w:val="1D6B315C"/>
    <w:rsid w:val="1D945038"/>
    <w:rsid w:val="1DA924E9"/>
    <w:rsid w:val="1DD565B3"/>
    <w:rsid w:val="1E5B247C"/>
    <w:rsid w:val="1E635E95"/>
    <w:rsid w:val="1E847463"/>
    <w:rsid w:val="1E9E3BCE"/>
    <w:rsid w:val="1EEA72AA"/>
    <w:rsid w:val="1F096D46"/>
    <w:rsid w:val="1F4C78A3"/>
    <w:rsid w:val="1F621B6C"/>
    <w:rsid w:val="200B1E26"/>
    <w:rsid w:val="203F2777"/>
    <w:rsid w:val="20543A33"/>
    <w:rsid w:val="20936923"/>
    <w:rsid w:val="20EF5592"/>
    <w:rsid w:val="21032389"/>
    <w:rsid w:val="213E04A9"/>
    <w:rsid w:val="214046DB"/>
    <w:rsid w:val="21733A6D"/>
    <w:rsid w:val="217E7612"/>
    <w:rsid w:val="218A2630"/>
    <w:rsid w:val="21C61EAB"/>
    <w:rsid w:val="222A0317"/>
    <w:rsid w:val="22484D3A"/>
    <w:rsid w:val="2276340E"/>
    <w:rsid w:val="227A622A"/>
    <w:rsid w:val="227E1A3D"/>
    <w:rsid w:val="229734B8"/>
    <w:rsid w:val="22CD1982"/>
    <w:rsid w:val="22E8706B"/>
    <w:rsid w:val="231B027F"/>
    <w:rsid w:val="23284F00"/>
    <w:rsid w:val="23B02DA9"/>
    <w:rsid w:val="244A76C5"/>
    <w:rsid w:val="249B235D"/>
    <w:rsid w:val="249F4F33"/>
    <w:rsid w:val="24B10CC6"/>
    <w:rsid w:val="25920F3E"/>
    <w:rsid w:val="25D529BE"/>
    <w:rsid w:val="25E00FCB"/>
    <w:rsid w:val="260B16EB"/>
    <w:rsid w:val="26211969"/>
    <w:rsid w:val="26380734"/>
    <w:rsid w:val="264676D2"/>
    <w:rsid w:val="26D14FE9"/>
    <w:rsid w:val="26D52984"/>
    <w:rsid w:val="26FE5749"/>
    <w:rsid w:val="27312B40"/>
    <w:rsid w:val="27E42BD4"/>
    <w:rsid w:val="28032A5C"/>
    <w:rsid w:val="28455E85"/>
    <w:rsid w:val="2880340A"/>
    <w:rsid w:val="28967C6C"/>
    <w:rsid w:val="28B94C6A"/>
    <w:rsid w:val="28BA505F"/>
    <w:rsid w:val="28BC6BE4"/>
    <w:rsid w:val="28F64ABD"/>
    <w:rsid w:val="291B79C9"/>
    <w:rsid w:val="291F4FFE"/>
    <w:rsid w:val="297B0287"/>
    <w:rsid w:val="297E0265"/>
    <w:rsid w:val="298F332B"/>
    <w:rsid w:val="29E02E1A"/>
    <w:rsid w:val="29E66308"/>
    <w:rsid w:val="2A152624"/>
    <w:rsid w:val="2A3161FC"/>
    <w:rsid w:val="2A3E4BC7"/>
    <w:rsid w:val="2A495509"/>
    <w:rsid w:val="2A8F4772"/>
    <w:rsid w:val="2AA06BC9"/>
    <w:rsid w:val="2AA70CE2"/>
    <w:rsid w:val="2AFF4458"/>
    <w:rsid w:val="2B3548C9"/>
    <w:rsid w:val="2B3727DA"/>
    <w:rsid w:val="2B41747F"/>
    <w:rsid w:val="2B5B1ACF"/>
    <w:rsid w:val="2BBE0CF8"/>
    <w:rsid w:val="2BF954B3"/>
    <w:rsid w:val="2C7735E3"/>
    <w:rsid w:val="2C894206"/>
    <w:rsid w:val="2CA76CF2"/>
    <w:rsid w:val="2CB968A9"/>
    <w:rsid w:val="2CF529E4"/>
    <w:rsid w:val="2CF6718B"/>
    <w:rsid w:val="2D1C4E82"/>
    <w:rsid w:val="2D507D16"/>
    <w:rsid w:val="2D5B7F98"/>
    <w:rsid w:val="2D882132"/>
    <w:rsid w:val="2DA6797E"/>
    <w:rsid w:val="2DEF0716"/>
    <w:rsid w:val="2E1859FA"/>
    <w:rsid w:val="2E793659"/>
    <w:rsid w:val="2E8C3338"/>
    <w:rsid w:val="2F1531B1"/>
    <w:rsid w:val="2F2C68B9"/>
    <w:rsid w:val="2F441E00"/>
    <w:rsid w:val="2F495A41"/>
    <w:rsid w:val="2F9B4549"/>
    <w:rsid w:val="2FFB2B8D"/>
    <w:rsid w:val="30665AD9"/>
    <w:rsid w:val="3071704C"/>
    <w:rsid w:val="30902B4A"/>
    <w:rsid w:val="31565D69"/>
    <w:rsid w:val="316F2D3C"/>
    <w:rsid w:val="31821B16"/>
    <w:rsid w:val="31845642"/>
    <w:rsid w:val="31D01BBE"/>
    <w:rsid w:val="31E35971"/>
    <w:rsid w:val="325C1785"/>
    <w:rsid w:val="3275500F"/>
    <w:rsid w:val="32897871"/>
    <w:rsid w:val="32DA0C35"/>
    <w:rsid w:val="32DC5B34"/>
    <w:rsid w:val="337C56A0"/>
    <w:rsid w:val="337C70B9"/>
    <w:rsid w:val="33846DE7"/>
    <w:rsid w:val="339A3427"/>
    <w:rsid w:val="33D301CC"/>
    <w:rsid w:val="33F929DB"/>
    <w:rsid w:val="345750BB"/>
    <w:rsid w:val="34586907"/>
    <w:rsid w:val="34654A40"/>
    <w:rsid w:val="34B46681"/>
    <w:rsid w:val="34F87280"/>
    <w:rsid w:val="34F946A6"/>
    <w:rsid w:val="350D7099"/>
    <w:rsid w:val="3510699D"/>
    <w:rsid w:val="351C3CB9"/>
    <w:rsid w:val="35445741"/>
    <w:rsid w:val="354D674E"/>
    <w:rsid w:val="357E2358"/>
    <w:rsid w:val="35BF70D9"/>
    <w:rsid w:val="35E15799"/>
    <w:rsid w:val="36183DE9"/>
    <w:rsid w:val="36BE1026"/>
    <w:rsid w:val="36E6372A"/>
    <w:rsid w:val="37125AEF"/>
    <w:rsid w:val="3746638E"/>
    <w:rsid w:val="374E6478"/>
    <w:rsid w:val="376C3A07"/>
    <w:rsid w:val="376C3E47"/>
    <w:rsid w:val="37E025AC"/>
    <w:rsid w:val="37E44514"/>
    <w:rsid w:val="37E50B25"/>
    <w:rsid w:val="37FC4AFC"/>
    <w:rsid w:val="38164648"/>
    <w:rsid w:val="381900B4"/>
    <w:rsid w:val="384268CC"/>
    <w:rsid w:val="384E1104"/>
    <w:rsid w:val="385A64FF"/>
    <w:rsid w:val="386E3BB2"/>
    <w:rsid w:val="389D6FDD"/>
    <w:rsid w:val="38A041BD"/>
    <w:rsid w:val="39192042"/>
    <w:rsid w:val="39204ED4"/>
    <w:rsid w:val="392435DB"/>
    <w:rsid w:val="395F496C"/>
    <w:rsid w:val="39826288"/>
    <w:rsid w:val="39B20761"/>
    <w:rsid w:val="3A4C3698"/>
    <w:rsid w:val="3A565E7E"/>
    <w:rsid w:val="3A832B68"/>
    <w:rsid w:val="3A8F67AB"/>
    <w:rsid w:val="3AD13B1C"/>
    <w:rsid w:val="3B466A72"/>
    <w:rsid w:val="3B8E2B60"/>
    <w:rsid w:val="3B9274FA"/>
    <w:rsid w:val="3B954108"/>
    <w:rsid w:val="3BAA6FEF"/>
    <w:rsid w:val="3BD97883"/>
    <w:rsid w:val="3BDF7EBB"/>
    <w:rsid w:val="3C38526A"/>
    <w:rsid w:val="3C7F1C25"/>
    <w:rsid w:val="3C9C15FF"/>
    <w:rsid w:val="3CA10119"/>
    <w:rsid w:val="3D10022F"/>
    <w:rsid w:val="3D5544D4"/>
    <w:rsid w:val="3DC3292E"/>
    <w:rsid w:val="3DC81C2E"/>
    <w:rsid w:val="3DD737A7"/>
    <w:rsid w:val="3DFE0A8D"/>
    <w:rsid w:val="3E2E10D8"/>
    <w:rsid w:val="3E8F31B4"/>
    <w:rsid w:val="3EC1479D"/>
    <w:rsid w:val="3EC314F9"/>
    <w:rsid w:val="3ECD1877"/>
    <w:rsid w:val="3EF7346C"/>
    <w:rsid w:val="3F4443BE"/>
    <w:rsid w:val="3F480E39"/>
    <w:rsid w:val="3F503772"/>
    <w:rsid w:val="3F837467"/>
    <w:rsid w:val="3F8F07EE"/>
    <w:rsid w:val="3FA23805"/>
    <w:rsid w:val="3FBB044B"/>
    <w:rsid w:val="401B721A"/>
    <w:rsid w:val="40730C66"/>
    <w:rsid w:val="40796B8C"/>
    <w:rsid w:val="40D8131B"/>
    <w:rsid w:val="415768A5"/>
    <w:rsid w:val="416B4BF2"/>
    <w:rsid w:val="416F4DEB"/>
    <w:rsid w:val="419E3E8E"/>
    <w:rsid w:val="41D706E9"/>
    <w:rsid w:val="41E76BCB"/>
    <w:rsid w:val="42135578"/>
    <w:rsid w:val="425B7E5F"/>
    <w:rsid w:val="426A5915"/>
    <w:rsid w:val="429076AD"/>
    <w:rsid w:val="42A31337"/>
    <w:rsid w:val="42AC3C78"/>
    <w:rsid w:val="42DD09A4"/>
    <w:rsid w:val="432357EB"/>
    <w:rsid w:val="433A40CC"/>
    <w:rsid w:val="438723BC"/>
    <w:rsid w:val="438A46BF"/>
    <w:rsid w:val="443E24C9"/>
    <w:rsid w:val="446F3407"/>
    <w:rsid w:val="448C5FCD"/>
    <w:rsid w:val="449B4F46"/>
    <w:rsid w:val="44E13B8E"/>
    <w:rsid w:val="44F24B6D"/>
    <w:rsid w:val="4505223F"/>
    <w:rsid w:val="45315E04"/>
    <w:rsid w:val="45662D6A"/>
    <w:rsid w:val="457A0D4E"/>
    <w:rsid w:val="45841E0C"/>
    <w:rsid w:val="4594127E"/>
    <w:rsid w:val="46083934"/>
    <w:rsid w:val="46576D12"/>
    <w:rsid w:val="469E3472"/>
    <w:rsid w:val="46BA2C56"/>
    <w:rsid w:val="47543DBD"/>
    <w:rsid w:val="47760910"/>
    <w:rsid w:val="477675A9"/>
    <w:rsid w:val="478E0BE9"/>
    <w:rsid w:val="47CC7725"/>
    <w:rsid w:val="47CF62D8"/>
    <w:rsid w:val="47EA699C"/>
    <w:rsid w:val="481E52CE"/>
    <w:rsid w:val="48200A30"/>
    <w:rsid w:val="482A1B66"/>
    <w:rsid w:val="488B13B8"/>
    <w:rsid w:val="48C46409"/>
    <w:rsid w:val="496C2D86"/>
    <w:rsid w:val="496D244E"/>
    <w:rsid w:val="49CB3EAC"/>
    <w:rsid w:val="49DD4E79"/>
    <w:rsid w:val="49E74ACD"/>
    <w:rsid w:val="4A330912"/>
    <w:rsid w:val="4A520B4F"/>
    <w:rsid w:val="4A74150E"/>
    <w:rsid w:val="4A962916"/>
    <w:rsid w:val="4AED4953"/>
    <w:rsid w:val="4AF750E6"/>
    <w:rsid w:val="4B182C41"/>
    <w:rsid w:val="4B9F7708"/>
    <w:rsid w:val="4BBB3ED3"/>
    <w:rsid w:val="4C1D0D9C"/>
    <w:rsid w:val="4C64242A"/>
    <w:rsid w:val="4C8213A0"/>
    <w:rsid w:val="4C8C1BAA"/>
    <w:rsid w:val="4C9169C6"/>
    <w:rsid w:val="4C9D79CC"/>
    <w:rsid w:val="4D0E3807"/>
    <w:rsid w:val="4D147CCE"/>
    <w:rsid w:val="4D631B88"/>
    <w:rsid w:val="4DC328A8"/>
    <w:rsid w:val="4DCC2EA0"/>
    <w:rsid w:val="4DCD5978"/>
    <w:rsid w:val="4DD76A3F"/>
    <w:rsid w:val="4DE605C6"/>
    <w:rsid w:val="4DFE6783"/>
    <w:rsid w:val="4E16503A"/>
    <w:rsid w:val="4E5D6A7C"/>
    <w:rsid w:val="4E6B0C3D"/>
    <w:rsid w:val="4E783AFF"/>
    <w:rsid w:val="4EA052BF"/>
    <w:rsid w:val="4EBE2CEF"/>
    <w:rsid w:val="4EC610CD"/>
    <w:rsid w:val="4F7648B8"/>
    <w:rsid w:val="4F96070B"/>
    <w:rsid w:val="4FB209D3"/>
    <w:rsid w:val="4FEC1956"/>
    <w:rsid w:val="50402FC7"/>
    <w:rsid w:val="504D063F"/>
    <w:rsid w:val="50C50923"/>
    <w:rsid w:val="51605D23"/>
    <w:rsid w:val="51A425F4"/>
    <w:rsid w:val="51EC1975"/>
    <w:rsid w:val="521D34BB"/>
    <w:rsid w:val="52204429"/>
    <w:rsid w:val="52864203"/>
    <w:rsid w:val="528E1EF3"/>
    <w:rsid w:val="52A23926"/>
    <w:rsid w:val="5321435A"/>
    <w:rsid w:val="533813FF"/>
    <w:rsid w:val="534C4A27"/>
    <w:rsid w:val="535A1841"/>
    <w:rsid w:val="538F7F99"/>
    <w:rsid w:val="53B53EEA"/>
    <w:rsid w:val="53C20A9B"/>
    <w:rsid w:val="53C276DA"/>
    <w:rsid w:val="53C32B82"/>
    <w:rsid w:val="53C86B86"/>
    <w:rsid w:val="53E73311"/>
    <w:rsid w:val="541D1F9E"/>
    <w:rsid w:val="54303A8C"/>
    <w:rsid w:val="5456475D"/>
    <w:rsid w:val="545C2076"/>
    <w:rsid w:val="548D5A12"/>
    <w:rsid w:val="54B25E48"/>
    <w:rsid w:val="54C172C4"/>
    <w:rsid w:val="54F9716A"/>
    <w:rsid w:val="553B5192"/>
    <w:rsid w:val="55635B5E"/>
    <w:rsid w:val="55C3018B"/>
    <w:rsid w:val="55D964E7"/>
    <w:rsid w:val="55E13E24"/>
    <w:rsid w:val="55E4136B"/>
    <w:rsid w:val="55F54E6A"/>
    <w:rsid w:val="561244FC"/>
    <w:rsid w:val="56671EA7"/>
    <w:rsid w:val="56874F8F"/>
    <w:rsid w:val="5703223A"/>
    <w:rsid w:val="57903C46"/>
    <w:rsid w:val="57CB04E2"/>
    <w:rsid w:val="5803109D"/>
    <w:rsid w:val="5809791F"/>
    <w:rsid w:val="581D7CDD"/>
    <w:rsid w:val="58205D3B"/>
    <w:rsid w:val="58266ADF"/>
    <w:rsid w:val="58424D19"/>
    <w:rsid w:val="58692170"/>
    <w:rsid w:val="588325FC"/>
    <w:rsid w:val="588C6A31"/>
    <w:rsid w:val="589C4CC6"/>
    <w:rsid w:val="591D4D5B"/>
    <w:rsid w:val="5930655E"/>
    <w:rsid w:val="5973106F"/>
    <w:rsid w:val="59756CA1"/>
    <w:rsid w:val="597B62B8"/>
    <w:rsid w:val="59867139"/>
    <w:rsid w:val="59FC6E0B"/>
    <w:rsid w:val="5A213E39"/>
    <w:rsid w:val="5A230381"/>
    <w:rsid w:val="5A5B2064"/>
    <w:rsid w:val="5A704AF6"/>
    <w:rsid w:val="5AA33ED2"/>
    <w:rsid w:val="5AAB3610"/>
    <w:rsid w:val="5AED6DC6"/>
    <w:rsid w:val="5B1C313D"/>
    <w:rsid w:val="5B20352C"/>
    <w:rsid w:val="5B2C1697"/>
    <w:rsid w:val="5C3F3346"/>
    <w:rsid w:val="5C700431"/>
    <w:rsid w:val="5C841E70"/>
    <w:rsid w:val="5CE46A0C"/>
    <w:rsid w:val="5D194BDE"/>
    <w:rsid w:val="5D5567CE"/>
    <w:rsid w:val="5D6859DC"/>
    <w:rsid w:val="5D872FC1"/>
    <w:rsid w:val="5D925AA0"/>
    <w:rsid w:val="5DA85633"/>
    <w:rsid w:val="5DD7401B"/>
    <w:rsid w:val="5DD9208E"/>
    <w:rsid w:val="5DE66308"/>
    <w:rsid w:val="5DFD6304"/>
    <w:rsid w:val="5E39562D"/>
    <w:rsid w:val="5E497598"/>
    <w:rsid w:val="5E8310C8"/>
    <w:rsid w:val="5EF3741B"/>
    <w:rsid w:val="5F03045D"/>
    <w:rsid w:val="5FCD7626"/>
    <w:rsid w:val="5FF824F6"/>
    <w:rsid w:val="60475467"/>
    <w:rsid w:val="604846EE"/>
    <w:rsid w:val="605A3E4D"/>
    <w:rsid w:val="6097387C"/>
    <w:rsid w:val="609F7098"/>
    <w:rsid w:val="60AA6A3A"/>
    <w:rsid w:val="60C01CCF"/>
    <w:rsid w:val="60E1218D"/>
    <w:rsid w:val="618576F6"/>
    <w:rsid w:val="61FA1C19"/>
    <w:rsid w:val="61FC5F60"/>
    <w:rsid w:val="620350F1"/>
    <w:rsid w:val="62064559"/>
    <w:rsid w:val="620A2365"/>
    <w:rsid w:val="624A68D2"/>
    <w:rsid w:val="62662617"/>
    <w:rsid w:val="626B6305"/>
    <w:rsid w:val="6272269C"/>
    <w:rsid w:val="62AA1277"/>
    <w:rsid w:val="62AF1773"/>
    <w:rsid w:val="62B37E2F"/>
    <w:rsid w:val="62F31692"/>
    <w:rsid w:val="6310542C"/>
    <w:rsid w:val="6333079A"/>
    <w:rsid w:val="63575071"/>
    <w:rsid w:val="638327C8"/>
    <w:rsid w:val="63855E90"/>
    <w:rsid w:val="63D72D72"/>
    <w:rsid w:val="63ED6659"/>
    <w:rsid w:val="645357C2"/>
    <w:rsid w:val="646D0012"/>
    <w:rsid w:val="649A5332"/>
    <w:rsid w:val="64AD2E3F"/>
    <w:rsid w:val="64F9659B"/>
    <w:rsid w:val="652E46AA"/>
    <w:rsid w:val="6548701B"/>
    <w:rsid w:val="656266E5"/>
    <w:rsid w:val="66467CD3"/>
    <w:rsid w:val="6683126C"/>
    <w:rsid w:val="66B5738E"/>
    <w:rsid w:val="66BE6F06"/>
    <w:rsid w:val="673F3615"/>
    <w:rsid w:val="6747097B"/>
    <w:rsid w:val="678B58FC"/>
    <w:rsid w:val="67EF1294"/>
    <w:rsid w:val="67F775AC"/>
    <w:rsid w:val="68035BF2"/>
    <w:rsid w:val="680D0350"/>
    <w:rsid w:val="68152350"/>
    <w:rsid w:val="68365E20"/>
    <w:rsid w:val="68756BC5"/>
    <w:rsid w:val="68866481"/>
    <w:rsid w:val="68867E01"/>
    <w:rsid w:val="68933499"/>
    <w:rsid w:val="689414E8"/>
    <w:rsid w:val="68C00747"/>
    <w:rsid w:val="69F25A5B"/>
    <w:rsid w:val="69F74BE5"/>
    <w:rsid w:val="6A2E1FC0"/>
    <w:rsid w:val="6BB13541"/>
    <w:rsid w:val="6C0F6AC6"/>
    <w:rsid w:val="6C332D03"/>
    <w:rsid w:val="6C4916C3"/>
    <w:rsid w:val="6C6F217B"/>
    <w:rsid w:val="6C775CC2"/>
    <w:rsid w:val="6C8120F5"/>
    <w:rsid w:val="6C8B58BD"/>
    <w:rsid w:val="6C92667C"/>
    <w:rsid w:val="6CB30A78"/>
    <w:rsid w:val="6CE744B4"/>
    <w:rsid w:val="6D1F0565"/>
    <w:rsid w:val="6D4D0507"/>
    <w:rsid w:val="6D68730F"/>
    <w:rsid w:val="6D8D3CCB"/>
    <w:rsid w:val="6DB13458"/>
    <w:rsid w:val="6DBB2C94"/>
    <w:rsid w:val="6E5774B4"/>
    <w:rsid w:val="6E5A0167"/>
    <w:rsid w:val="6E5F59AE"/>
    <w:rsid w:val="6E842138"/>
    <w:rsid w:val="6E932C14"/>
    <w:rsid w:val="6EDB2B9D"/>
    <w:rsid w:val="6EDB7D8E"/>
    <w:rsid w:val="6EF0512E"/>
    <w:rsid w:val="6EF9114D"/>
    <w:rsid w:val="6F0967ED"/>
    <w:rsid w:val="6F2675BC"/>
    <w:rsid w:val="6F6F377B"/>
    <w:rsid w:val="6F9B10D0"/>
    <w:rsid w:val="6FD64729"/>
    <w:rsid w:val="6FD65F29"/>
    <w:rsid w:val="6FFC3C53"/>
    <w:rsid w:val="70195AD3"/>
    <w:rsid w:val="70220EE5"/>
    <w:rsid w:val="704706BF"/>
    <w:rsid w:val="70914EE8"/>
    <w:rsid w:val="70BB53C7"/>
    <w:rsid w:val="70C92374"/>
    <w:rsid w:val="70CD4EB7"/>
    <w:rsid w:val="70E6206C"/>
    <w:rsid w:val="71072FF8"/>
    <w:rsid w:val="71140973"/>
    <w:rsid w:val="712435DF"/>
    <w:rsid w:val="713D379F"/>
    <w:rsid w:val="71DB50BD"/>
    <w:rsid w:val="71E96AEE"/>
    <w:rsid w:val="71F6255B"/>
    <w:rsid w:val="72472B4D"/>
    <w:rsid w:val="72582B14"/>
    <w:rsid w:val="72A650EA"/>
    <w:rsid w:val="72AE01D2"/>
    <w:rsid w:val="72C50732"/>
    <w:rsid w:val="72EC7E6C"/>
    <w:rsid w:val="72F35324"/>
    <w:rsid w:val="731178AD"/>
    <w:rsid w:val="7392232D"/>
    <w:rsid w:val="73C037A4"/>
    <w:rsid w:val="73C206D2"/>
    <w:rsid w:val="73C74B1A"/>
    <w:rsid w:val="74274A0C"/>
    <w:rsid w:val="74274EB4"/>
    <w:rsid w:val="743A460C"/>
    <w:rsid w:val="7447767F"/>
    <w:rsid w:val="747909B8"/>
    <w:rsid w:val="751D5844"/>
    <w:rsid w:val="753C7CAD"/>
    <w:rsid w:val="755F3D6C"/>
    <w:rsid w:val="757D2555"/>
    <w:rsid w:val="75FE00CF"/>
    <w:rsid w:val="761D6FE1"/>
    <w:rsid w:val="76890D80"/>
    <w:rsid w:val="76C920BC"/>
    <w:rsid w:val="76E16D06"/>
    <w:rsid w:val="76F31238"/>
    <w:rsid w:val="77034CD0"/>
    <w:rsid w:val="772453A2"/>
    <w:rsid w:val="77316A31"/>
    <w:rsid w:val="774663AF"/>
    <w:rsid w:val="7747521A"/>
    <w:rsid w:val="7769253D"/>
    <w:rsid w:val="77945120"/>
    <w:rsid w:val="77A54D26"/>
    <w:rsid w:val="77C73C8E"/>
    <w:rsid w:val="77CA45D9"/>
    <w:rsid w:val="77E70006"/>
    <w:rsid w:val="7813501F"/>
    <w:rsid w:val="787019A1"/>
    <w:rsid w:val="78784114"/>
    <w:rsid w:val="78C64833"/>
    <w:rsid w:val="78D63DA5"/>
    <w:rsid w:val="790F7FEC"/>
    <w:rsid w:val="793509AD"/>
    <w:rsid w:val="79433287"/>
    <w:rsid w:val="79891CD4"/>
    <w:rsid w:val="79950C96"/>
    <w:rsid w:val="799B2BF8"/>
    <w:rsid w:val="79E065EE"/>
    <w:rsid w:val="79FC6A79"/>
    <w:rsid w:val="7A2222B4"/>
    <w:rsid w:val="7A2972DD"/>
    <w:rsid w:val="7A3343E8"/>
    <w:rsid w:val="7A47015F"/>
    <w:rsid w:val="7AE32FDF"/>
    <w:rsid w:val="7AE748D5"/>
    <w:rsid w:val="7AFA2527"/>
    <w:rsid w:val="7B151BFE"/>
    <w:rsid w:val="7B1865EB"/>
    <w:rsid w:val="7B70727F"/>
    <w:rsid w:val="7B835255"/>
    <w:rsid w:val="7B8B54DD"/>
    <w:rsid w:val="7B924FAB"/>
    <w:rsid w:val="7B9452FE"/>
    <w:rsid w:val="7B9671CE"/>
    <w:rsid w:val="7BB914A1"/>
    <w:rsid w:val="7C1B1D9E"/>
    <w:rsid w:val="7C36074B"/>
    <w:rsid w:val="7C452860"/>
    <w:rsid w:val="7C583EF0"/>
    <w:rsid w:val="7C63648F"/>
    <w:rsid w:val="7C6972B6"/>
    <w:rsid w:val="7C937DDC"/>
    <w:rsid w:val="7CA43B4F"/>
    <w:rsid w:val="7CAE7553"/>
    <w:rsid w:val="7CE3670E"/>
    <w:rsid w:val="7D5422CA"/>
    <w:rsid w:val="7D6F79E7"/>
    <w:rsid w:val="7D8D562A"/>
    <w:rsid w:val="7DC31C21"/>
    <w:rsid w:val="7E6A1E15"/>
    <w:rsid w:val="7E8753F1"/>
    <w:rsid w:val="7EDD360C"/>
    <w:rsid w:val="7EFB5491"/>
    <w:rsid w:val="7F0F711F"/>
    <w:rsid w:val="7F150A33"/>
    <w:rsid w:val="7F8030D5"/>
    <w:rsid w:val="7FB17669"/>
    <w:rsid w:val="7FD931AB"/>
    <w:rsid w:val="7FD94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spacing w:before="340" w:after="330" w:line="576" w:lineRule="auto"/>
      <w:outlineLvl w:val="0"/>
    </w:pPr>
    <w:rPr>
      <w:b/>
      <w:bCs/>
      <w:kern w:val="44"/>
      <w:sz w:val="44"/>
      <w:szCs w:val="44"/>
    </w:rPr>
  </w:style>
  <w:style w:type="paragraph" w:styleId="5">
    <w:name w:val="heading 2"/>
    <w:basedOn w:val="1"/>
    <w:next w:val="1"/>
    <w:qFormat/>
    <w:uiPriority w:val="0"/>
    <w:pPr>
      <w:keepNext/>
      <w:keepLines/>
      <w:numPr>
        <w:ilvl w:val="1"/>
        <w:numId w:val="1"/>
      </w:numPr>
      <w:spacing w:line="360" w:lineRule="auto"/>
      <w:outlineLvl w:val="1"/>
    </w:pPr>
    <w:rPr>
      <w:rFonts w:ascii="Arial" w:hAnsi="宋体" w:eastAsia="黑体"/>
      <w:sz w:val="24"/>
      <w:szCs w:val="24"/>
    </w:rPr>
  </w:style>
  <w:style w:type="paragraph" w:styleId="6">
    <w:name w:val="heading 3"/>
    <w:basedOn w:val="1"/>
    <w:next w:val="7"/>
    <w:qFormat/>
    <w:uiPriority w:val="0"/>
    <w:pPr>
      <w:keepNext/>
      <w:keepLines/>
      <w:numPr>
        <w:ilvl w:val="2"/>
        <w:numId w:val="1"/>
      </w:numPr>
      <w:spacing w:line="360" w:lineRule="auto"/>
      <w:outlineLvl w:val="2"/>
    </w:pPr>
    <w:rPr>
      <w:rFonts w:ascii="宋体" w:hAnsi="宋体"/>
      <w:b/>
      <w:bCs/>
      <w:szCs w:val="21"/>
    </w:rPr>
  </w:style>
  <w:style w:type="paragraph" w:styleId="8">
    <w:name w:val="heading 4"/>
    <w:basedOn w:val="6"/>
    <w:next w:val="7"/>
    <w:qFormat/>
    <w:uiPriority w:val="0"/>
    <w:pPr>
      <w:numPr>
        <w:ilvl w:val="3"/>
      </w:numPr>
      <w:jc w:val="left"/>
      <w:outlineLvl w:val="3"/>
    </w:pPr>
    <w:rPr>
      <w:bCs w:val="0"/>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lang w:val="en-US" w:eastAsia="zh-CN" w:bidi="ar-SA"/>
    </w:rPr>
  </w:style>
  <w:style w:type="paragraph" w:styleId="7">
    <w:name w:val="Normal Indent"/>
    <w:basedOn w:val="1"/>
    <w:qFormat/>
    <w:uiPriority w:val="0"/>
    <w:pPr>
      <w:ind w:firstLine="420" w:firstLineChars="200"/>
    </w:pPr>
  </w:style>
  <w:style w:type="paragraph" w:styleId="9">
    <w:name w:val="annotation text"/>
    <w:basedOn w:val="1"/>
    <w:qFormat/>
    <w:uiPriority w:val="0"/>
    <w:pPr>
      <w:jc w:val="left"/>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toc 2"/>
    <w:basedOn w:val="1"/>
    <w:next w:val="1"/>
    <w:qFormat/>
    <w:uiPriority w:val="0"/>
    <w:pPr>
      <w:ind w:left="420" w:leftChars="200"/>
    </w:pPr>
  </w:style>
  <w:style w:type="paragraph" w:styleId="14">
    <w:name w:val="Body Text First Indent"/>
    <w:basedOn w:val="2"/>
    <w:qFormat/>
    <w:uiPriority w:val="0"/>
    <w:pPr>
      <w:ind w:firstLine="420" w:firstLineChars="100"/>
    </w:pPr>
  </w:style>
  <w:style w:type="paragraph" w:customStyle="1" w:styleId="17">
    <w:name w:val="正文文字样式"/>
    <w:basedOn w:val="1"/>
    <w:qFormat/>
    <w:uiPriority w:val="0"/>
    <w:pPr>
      <w:spacing w:line="480" w:lineRule="exact"/>
      <w:ind w:firstLine="480" w:firstLineChars="200"/>
    </w:pPr>
    <w:rPr>
      <w:sz w:val="24"/>
      <w:szCs w:val="24"/>
      <w:lang w:val="zh-CN"/>
    </w:rPr>
  </w:style>
  <w:style w:type="paragraph" w:customStyle="1" w:styleId="18">
    <w:name w:val="6级正文"/>
    <w:basedOn w:val="1"/>
    <w:qFormat/>
    <w:uiPriority w:val="0"/>
    <w:pPr>
      <w:spacing w:line="360" w:lineRule="auto"/>
      <w:ind w:firstLine="444" w:firstLineChars="200"/>
    </w:pPr>
    <w:rPr>
      <w:rFonts w:ascii="宋体" w:hAnsi="宋体"/>
      <w:spacing w:val="6"/>
      <w:szCs w:val="21"/>
    </w:rPr>
  </w:style>
  <w:style w:type="paragraph" w:customStyle="1" w:styleId="19">
    <w:name w:val="样式 正文首行缩进 + 段前: 0.5 行 段后: 0.5 行"/>
    <w:basedOn w:val="14"/>
    <w:qFormat/>
    <w:uiPriority w:val="0"/>
    <w:pPr>
      <w:spacing w:beforeLines="50" w:afterLines="50" w:line="480" w:lineRule="exact"/>
      <w:ind w:firstLine="0" w:firstLineChars="0"/>
    </w:pPr>
    <w:rPr>
      <w:sz w:val="24"/>
      <w:lang w:val="zh-CN"/>
    </w:rPr>
  </w:style>
  <w:style w:type="paragraph" w:customStyle="1" w:styleId="20">
    <w:name w:val="WPSOffice手动目录 2"/>
    <w:qFormat/>
    <w:uiPriority w:val="0"/>
    <w:pPr>
      <w:ind w:leftChars="200"/>
    </w:pPr>
    <w:rPr>
      <w:rFonts w:asciiTheme="minorHAnsi" w:hAnsiTheme="minorHAnsi" w:eastAsiaTheme="minorEastAsia" w:cstheme="minorBidi"/>
      <w:sz w:val="20"/>
      <w:szCs w:val="20"/>
    </w:rPr>
  </w:style>
  <w:style w:type="paragraph" w:customStyle="1" w:styleId="21">
    <w:name w:val="WPSOffice手动目录 1"/>
    <w:qFormat/>
    <w:uiPriority w:val="0"/>
    <w:pPr>
      <w:ind w:leftChars="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5415</Words>
  <Characters>5647</Characters>
  <Lines>0</Lines>
  <Paragraphs>0</Paragraphs>
  <TotalTime>76</TotalTime>
  <ScaleCrop>false</ScaleCrop>
  <LinksUpToDate>false</LinksUpToDate>
  <CharactersWithSpaces>5695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2021-01-08T07:48:00Z</dcterms:created>
  <dc:creator>杨伟鸳</dc:creator>
  <cp:lastModifiedBy>chenweijie0830</cp:lastModifiedBy>
  <cp:lastPrinted>2023-10-27T06:37:00Z</cp:lastPrinted>
  <dcterms:modified xsi:type="dcterms:W3CDTF">2025-11-24T02:23:41Z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9FCD87DED4E345E484D6138819322289_13</vt:lpwstr>
  </property>
</Properties>
</file>